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2DD5" w:rsidRDefault="00FA2DD5" w:rsidP="00DD2E89">
      <w:pPr>
        <w:spacing w:after="0" w:line="240" w:lineRule="auto"/>
        <w:jc w:val="center"/>
        <w:rPr>
          <w:b/>
        </w:rPr>
      </w:pPr>
    </w:p>
    <w:p w:rsidR="00FA2DD5" w:rsidRDefault="00FA2DD5" w:rsidP="00DD2E89">
      <w:pPr>
        <w:spacing w:after="0" w:line="240" w:lineRule="auto"/>
        <w:jc w:val="center"/>
        <w:rPr>
          <w:b/>
        </w:rPr>
      </w:pPr>
    </w:p>
    <w:p w:rsidR="00FA2DD5" w:rsidRDefault="00FA2DD5" w:rsidP="00DD2E89">
      <w:pPr>
        <w:spacing w:after="0" w:line="240" w:lineRule="auto"/>
        <w:jc w:val="center"/>
        <w:rPr>
          <w:b/>
        </w:rPr>
      </w:pPr>
    </w:p>
    <w:p w:rsidR="00DD2E89" w:rsidRDefault="00FA2DD5" w:rsidP="00DD2E89">
      <w:pPr>
        <w:spacing w:after="0" w:line="240" w:lineRule="auto"/>
        <w:jc w:val="center"/>
        <w:rPr>
          <w:b/>
        </w:rPr>
      </w:pPr>
      <w:r>
        <w:rPr>
          <w:noProof/>
        </w:rPr>
        <w:drawing>
          <wp:anchor distT="0" distB="0" distL="114300" distR="114300" simplePos="0" relativeHeight="251660288" behindDoc="0" locked="0" layoutInCell="1" allowOverlap="1">
            <wp:simplePos x="1390650" y="914400"/>
            <wp:positionH relativeFrom="margin">
              <wp:align>left</wp:align>
            </wp:positionH>
            <wp:positionV relativeFrom="margin">
              <wp:align>top</wp:align>
            </wp:positionV>
            <wp:extent cx="1059180" cy="1279188"/>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WW logo 02141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59180" cy="1279188"/>
                    </a:xfrm>
                    <a:prstGeom prst="rect">
                      <a:avLst/>
                    </a:prstGeom>
                  </pic:spPr>
                </pic:pic>
              </a:graphicData>
            </a:graphic>
          </wp:anchor>
        </w:drawing>
      </w:r>
      <w:r w:rsidR="00DD2E89">
        <w:rPr>
          <w:b/>
        </w:rPr>
        <w:t xml:space="preserve">Des Plaines River Watershed Workgroup </w:t>
      </w:r>
      <w:r w:rsidR="0007508B">
        <w:rPr>
          <w:b/>
        </w:rPr>
        <w:t xml:space="preserve">Initial </w:t>
      </w:r>
      <w:r w:rsidR="00DD2E89">
        <w:rPr>
          <w:b/>
        </w:rPr>
        <w:t xml:space="preserve">Monitoring </w:t>
      </w:r>
      <w:r w:rsidR="0007508B">
        <w:rPr>
          <w:b/>
        </w:rPr>
        <w:t>Strategy</w:t>
      </w:r>
    </w:p>
    <w:p w:rsidR="0007508B" w:rsidRDefault="0007508B" w:rsidP="00DD2E89">
      <w:pPr>
        <w:spacing w:after="0" w:line="240" w:lineRule="auto"/>
        <w:jc w:val="center"/>
        <w:rPr>
          <w:b/>
        </w:rPr>
      </w:pPr>
      <w:r>
        <w:rPr>
          <w:b/>
        </w:rPr>
        <w:t>6/2</w:t>
      </w:r>
      <w:r w:rsidR="00033297">
        <w:rPr>
          <w:b/>
        </w:rPr>
        <w:t>4</w:t>
      </w:r>
      <w:r>
        <w:rPr>
          <w:b/>
        </w:rPr>
        <w:t>/2015</w:t>
      </w:r>
    </w:p>
    <w:p w:rsidR="00DD2E89" w:rsidRPr="00DD2E89" w:rsidRDefault="00DD2E89" w:rsidP="00DD2E89">
      <w:pPr>
        <w:spacing w:after="0" w:line="240" w:lineRule="auto"/>
        <w:jc w:val="center"/>
        <w:rPr>
          <w:b/>
        </w:rPr>
      </w:pPr>
    </w:p>
    <w:p w:rsidR="00FA2DD5" w:rsidRDefault="00FA2DD5" w:rsidP="00C361AD">
      <w:pPr>
        <w:spacing w:after="0" w:line="240" w:lineRule="auto"/>
        <w:rPr>
          <w:b/>
        </w:rPr>
      </w:pPr>
    </w:p>
    <w:p w:rsidR="00FA2DD5" w:rsidRDefault="00FA2DD5" w:rsidP="00C361AD">
      <w:pPr>
        <w:spacing w:after="0" w:line="240" w:lineRule="auto"/>
        <w:rPr>
          <w:b/>
        </w:rPr>
      </w:pPr>
    </w:p>
    <w:p w:rsidR="00186586" w:rsidRDefault="00186586" w:rsidP="009E2A96">
      <w:pPr>
        <w:pStyle w:val="Heading1"/>
      </w:pPr>
      <w:r>
        <w:t>Introduction and Background</w:t>
      </w:r>
    </w:p>
    <w:p w:rsidR="00186586" w:rsidRDefault="001748CB" w:rsidP="00C361AD">
      <w:pPr>
        <w:spacing w:after="0" w:line="240" w:lineRule="auto"/>
      </w:pPr>
      <w:r>
        <w:t xml:space="preserve">The Des Plaines River watershed covers over 130,000 acres or just over 200 square miles.  The river starts just west of Kenosha, Wisconsin and flows south through Racine and Kenosha Counties in Wisconsin, and then through Lake, Cook, and Will Counties in Illinois.  The river then </w:t>
      </w:r>
      <w:r w:rsidR="00E36971">
        <w:t>joins the Sanitary and Ship Canal in Lockport, flows west through Joliet, before converging with the Kankakee River to form the Illinois River.  The Illinois River then flows into the Mississippi River which flows south to the Gulf of Mexico.</w:t>
      </w:r>
    </w:p>
    <w:p w:rsidR="00E36971" w:rsidRDefault="00E36971" w:rsidP="00C361AD">
      <w:pPr>
        <w:spacing w:after="0" w:line="240" w:lineRule="auto"/>
      </w:pPr>
    </w:p>
    <w:p w:rsidR="00E36971" w:rsidRPr="00186586" w:rsidRDefault="000E423B" w:rsidP="00C361AD">
      <w:pPr>
        <w:spacing w:after="0" w:line="240" w:lineRule="auto"/>
      </w:pPr>
      <w:r>
        <w:t>Portions of t</w:t>
      </w:r>
      <w:r w:rsidR="00E36971">
        <w:t xml:space="preserve">he Des Plaines River </w:t>
      </w:r>
      <w:r>
        <w:t xml:space="preserve">and some of its tributaries </w:t>
      </w:r>
      <w:r w:rsidR="00E36971">
        <w:t>within Lake County</w:t>
      </w:r>
      <w:r>
        <w:t xml:space="preserve"> are listed as impaired by the Illinois Environmental Protection Agency (Illinois EPA) and are not meeting their designated uses under the Clean Water Act.  Segments are listed as impaired for pollutants including arsenic, chloride, dissolved oxygen, fecal coliform, iron, manganese, methoxychlor, mercury, phosphorous, polychlorinated biphenyls, and total suspended solids.  </w:t>
      </w:r>
      <w:r w:rsidR="008A7BBE">
        <w:t>Phosphorous is</w:t>
      </w:r>
      <w:r w:rsidR="0007508B">
        <w:t xml:space="preserve"> currently being</w:t>
      </w:r>
      <w:r w:rsidR="008A7BBE">
        <w:t xml:space="preserve"> limited</w:t>
      </w:r>
      <w:r w:rsidR="0007508B">
        <w:t xml:space="preserve"> by regulatory action</w:t>
      </w:r>
      <w:r w:rsidR="008A7BBE">
        <w:t xml:space="preserve"> through </w:t>
      </w:r>
      <w:r w:rsidR="008A7BBE" w:rsidRPr="00E330B3">
        <w:t>Publically Owned Treatment Works (POTWs)</w:t>
      </w:r>
      <w:r w:rsidR="008A7BBE">
        <w:t xml:space="preserve"> National Pollutant Discharge Elimination System (NPDES) permits.</w:t>
      </w:r>
      <w:r w:rsidR="0007508B">
        <w:t xml:space="preserve">  In addition, Total Maximum Daily Loads (TMDLs) have been completed for some stream segments and lakes within the watershed and will continue to be developed.  However it is unclear as to whether any of these regulatory mechanisms will ultimately allow for the water body to meet Clean Water Act standards.</w:t>
      </w:r>
      <w:r w:rsidR="00CE4734">
        <w:t xml:space="preserve">  The Des Plaines River Watershed Workgroup (DRWW) will bring together local stakeholders to better determine stressors to the aquatic system through a long term water quality monitoring program and work together to preserve and enhance water quality in the Des Plaines River and its tributaries.</w:t>
      </w:r>
      <w:r w:rsidR="0007508B">
        <w:t xml:space="preserve"> </w:t>
      </w:r>
    </w:p>
    <w:p w:rsidR="00186586" w:rsidRPr="00186586" w:rsidRDefault="00186586" w:rsidP="009E2A96">
      <w:pPr>
        <w:pStyle w:val="Heading1"/>
      </w:pPr>
      <w:r w:rsidRPr="00186586">
        <w:t>Program Goals</w:t>
      </w:r>
    </w:p>
    <w:p w:rsidR="003F2235" w:rsidRDefault="00176C3E" w:rsidP="00C361AD">
      <w:pPr>
        <w:spacing w:after="0" w:line="240" w:lineRule="auto"/>
      </w:pPr>
      <w:r>
        <w:t>T</w:t>
      </w:r>
      <w:r w:rsidR="003F2235">
        <w:t xml:space="preserve">he </w:t>
      </w:r>
      <w:r w:rsidR="00CE4734">
        <w:t>DRWW</w:t>
      </w:r>
      <w:r w:rsidR="003F2235">
        <w:t xml:space="preserve"> </w:t>
      </w:r>
      <w:r>
        <w:t>will undertake</w:t>
      </w:r>
      <w:r w:rsidR="003F2235">
        <w:t xml:space="preserve"> a comprehensive monitoring program </w:t>
      </w:r>
      <w:r w:rsidR="00C361AD">
        <w:t>to</w:t>
      </w:r>
      <w:r w:rsidR="003F2235">
        <w:t xml:space="preserve"> fulfill the following goals:</w:t>
      </w:r>
    </w:p>
    <w:p w:rsidR="0098662E" w:rsidRDefault="0098662E" w:rsidP="00C361AD">
      <w:pPr>
        <w:spacing w:after="0" w:line="240" w:lineRule="auto"/>
      </w:pPr>
    </w:p>
    <w:p w:rsidR="003F2235" w:rsidRDefault="00176C3E" w:rsidP="00DB1145">
      <w:pPr>
        <w:pStyle w:val="ListParagraph"/>
        <w:numPr>
          <w:ilvl w:val="0"/>
          <w:numId w:val="1"/>
        </w:numPr>
        <w:spacing w:after="0" w:line="240" w:lineRule="auto"/>
      </w:pPr>
      <w:r>
        <w:t>Develop and implement a comprehensive monitoring program that will include chemical, physical, and biological components that will accurately identify the quality of river ecosystems as well as stressors associated with non-attainment of water quality standards and designated uses.</w:t>
      </w:r>
      <w:r w:rsidR="00DB1145">
        <w:t xml:space="preserve">  The DRWW monitoring program will e</w:t>
      </w:r>
      <w:r w:rsidR="003F2235">
        <w:t>stablish</w:t>
      </w:r>
      <w:r>
        <w:t xml:space="preserve"> baseline conditions, </w:t>
      </w:r>
      <w:r w:rsidR="00C361AD">
        <w:t>and then</w:t>
      </w:r>
      <w:r>
        <w:t xml:space="preserve"> measure progress.</w:t>
      </w:r>
    </w:p>
    <w:p w:rsidR="0098662E" w:rsidRDefault="0098662E" w:rsidP="0098662E">
      <w:pPr>
        <w:pStyle w:val="ListParagraph"/>
        <w:spacing w:after="0" w:line="240" w:lineRule="auto"/>
      </w:pPr>
    </w:p>
    <w:p w:rsidR="00DB1145" w:rsidRDefault="00176C3E" w:rsidP="00DB1145">
      <w:pPr>
        <w:pStyle w:val="ListParagraph"/>
        <w:numPr>
          <w:ilvl w:val="0"/>
          <w:numId w:val="1"/>
        </w:numPr>
        <w:spacing w:after="0" w:line="240" w:lineRule="auto"/>
      </w:pPr>
      <w:r>
        <w:t xml:space="preserve">Assist </w:t>
      </w:r>
      <w:r w:rsidR="003F2235">
        <w:t>NPDES permit</w:t>
      </w:r>
      <w:r w:rsidR="008B025A">
        <w:t>t</w:t>
      </w:r>
      <w:r>
        <w:t>ees</w:t>
      </w:r>
      <w:r w:rsidR="003F2235">
        <w:t xml:space="preserve"> </w:t>
      </w:r>
      <w:r>
        <w:t xml:space="preserve">in meeting monitoring </w:t>
      </w:r>
      <w:r w:rsidR="00DB1145">
        <w:t xml:space="preserve">permit requirements, including </w:t>
      </w:r>
      <w:r w:rsidR="008B025A" w:rsidRPr="00E330B3">
        <w:t xml:space="preserve">monitoring </w:t>
      </w:r>
      <w:r w:rsidR="00BD30AB" w:rsidRPr="00E330B3">
        <w:t>requirements</w:t>
      </w:r>
      <w:r w:rsidR="00BD30AB">
        <w:t xml:space="preserve"> for</w:t>
      </w:r>
      <w:r w:rsidR="008B025A">
        <w:t xml:space="preserve"> </w:t>
      </w:r>
      <w:r w:rsidR="00DB1145">
        <w:t xml:space="preserve">upstream and downstream of </w:t>
      </w:r>
      <w:r w:rsidR="00EC6504" w:rsidRPr="00E330B3">
        <w:t xml:space="preserve">POTWs </w:t>
      </w:r>
      <w:r w:rsidR="00DB1145" w:rsidRPr="00E330B3">
        <w:t>and Municipal Separate Storm Sewer System</w:t>
      </w:r>
      <w:r w:rsidR="008B025A">
        <w:t>s</w:t>
      </w:r>
      <w:r w:rsidR="00DB1145" w:rsidRPr="00E330B3">
        <w:t xml:space="preserve"> </w:t>
      </w:r>
      <w:r w:rsidR="00D37AA4">
        <w:t>(MS4</w:t>
      </w:r>
      <w:r w:rsidR="008B025A">
        <w:t>s</w:t>
      </w:r>
      <w:r w:rsidR="00D37AA4">
        <w:t>)</w:t>
      </w:r>
      <w:r w:rsidR="00DB1145" w:rsidRPr="00E330B3">
        <w:t>.</w:t>
      </w:r>
    </w:p>
    <w:p w:rsidR="0098662E" w:rsidRPr="00E330B3" w:rsidRDefault="0098662E" w:rsidP="0098662E">
      <w:pPr>
        <w:spacing w:after="0" w:line="240" w:lineRule="auto"/>
      </w:pPr>
    </w:p>
    <w:p w:rsidR="003F2235" w:rsidRPr="001823E7" w:rsidRDefault="00E330B3" w:rsidP="001823E7">
      <w:pPr>
        <w:autoSpaceDE w:val="0"/>
        <w:autoSpaceDN w:val="0"/>
        <w:adjustRightInd w:val="0"/>
        <w:spacing w:after="0" w:line="240" w:lineRule="auto"/>
      </w:pPr>
      <w:r w:rsidRPr="00E330B3">
        <w:rPr>
          <w:rFonts w:ascii="Calibri" w:eastAsiaTheme="minorHAnsi" w:hAnsi="Calibri" w:cs="Calibri"/>
        </w:rPr>
        <w:t xml:space="preserve">The proposed study will document the existing status of the rivers and streams in the watersheds of the Des Plaines River watershed within Lake County, Illinois. The study will emphasize the direct </w:t>
      </w:r>
      <w:r w:rsidRPr="001823E7">
        <w:rPr>
          <w:rFonts w:ascii="Calibri" w:eastAsiaTheme="minorHAnsi" w:hAnsi="Calibri" w:cs="Calibri"/>
        </w:rPr>
        <w:t>assessment of biological assemblages by sampling fish and macroinvertebrates using standardized sampling and</w:t>
      </w:r>
      <w:r w:rsidR="001823E7">
        <w:rPr>
          <w:rFonts w:ascii="Calibri" w:eastAsiaTheme="minorHAnsi" w:hAnsi="Calibri" w:cs="Calibri"/>
        </w:rPr>
        <w:t xml:space="preserve"> </w:t>
      </w:r>
      <w:r w:rsidR="001823E7" w:rsidRPr="001823E7">
        <w:rPr>
          <w:rFonts w:ascii="Calibri" w:eastAsiaTheme="minorHAnsi" w:hAnsi="Calibri" w:cs="Calibri"/>
        </w:rPr>
        <w:lastRenderedPageBreak/>
        <w:t>assessment methodologies. In addition to determining aquatic life status, the project will also ascertain the associated causes and sources associated with biological impairments by using paired chemical, physical, and other stressor data and information within a systematic analytical process detailed in a comprehensive plan of study.</w:t>
      </w:r>
    </w:p>
    <w:p w:rsidR="00BC71ED" w:rsidRPr="00BC71ED" w:rsidRDefault="00BC71ED" w:rsidP="009E2A96">
      <w:pPr>
        <w:pStyle w:val="Heading1"/>
      </w:pPr>
      <w:r>
        <w:t>Budget</w:t>
      </w:r>
      <w:r w:rsidR="009E2A96">
        <w:tab/>
      </w:r>
    </w:p>
    <w:p w:rsidR="00F64A17" w:rsidRDefault="00F64A17" w:rsidP="00F14425">
      <w:pPr>
        <w:spacing w:after="0" w:line="240" w:lineRule="auto"/>
      </w:pPr>
      <w:r>
        <w:t xml:space="preserve">The DRWW will use annual membership dues to support the comprehensive monitoring program.  Qualified contractors will be secured through a competitive bid process.  </w:t>
      </w:r>
      <w:r w:rsidR="00EA2D6F">
        <w:t>P</w:t>
      </w:r>
      <w:r w:rsidR="00BC71ED">
        <w:t>reliminary</w:t>
      </w:r>
      <w:r w:rsidR="00BD30AB">
        <w:t xml:space="preserve"> annual </w:t>
      </w:r>
      <w:r w:rsidR="00BC71ED">
        <w:t>budget:</w:t>
      </w:r>
    </w:p>
    <w:p w:rsidR="00BC71ED" w:rsidRDefault="00BC71ED" w:rsidP="00C361AD">
      <w:pPr>
        <w:pStyle w:val="ListParagraph"/>
        <w:numPr>
          <w:ilvl w:val="0"/>
          <w:numId w:val="3"/>
        </w:numPr>
        <w:spacing w:line="240" w:lineRule="auto"/>
      </w:pPr>
      <w:r>
        <w:t>Annual dues: $225,000</w:t>
      </w:r>
    </w:p>
    <w:p w:rsidR="00BC71ED" w:rsidRDefault="00BC71ED" w:rsidP="00C361AD">
      <w:pPr>
        <w:pStyle w:val="ListParagraph"/>
        <w:numPr>
          <w:ilvl w:val="1"/>
          <w:numId w:val="3"/>
        </w:numPr>
        <w:spacing w:line="240" w:lineRule="auto"/>
      </w:pPr>
      <w:r>
        <w:t>$50,000 Administration</w:t>
      </w:r>
    </w:p>
    <w:p w:rsidR="00BC71ED" w:rsidRDefault="00BC71ED" w:rsidP="00C361AD">
      <w:pPr>
        <w:pStyle w:val="ListParagraph"/>
        <w:numPr>
          <w:ilvl w:val="1"/>
          <w:numId w:val="3"/>
        </w:numPr>
        <w:spacing w:line="240" w:lineRule="auto"/>
      </w:pPr>
      <w:r>
        <w:t>$175,000 Monitoring Program</w:t>
      </w:r>
    </w:p>
    <w:p w:rsidR="00BC71ED" w:rsidRDefault="00BC71ED" w:rsidP="00C361AD">
      <w:pPr>
        <w:pStyle w:val="ListParagraph"/>
        <w:numPr>
          <w:ilvl w:val="2"/>
          <w:numId w:val="3"/>
        </w:numPr>
        <w:spacing w:line="240" w:lineRule="auto"/>
      </w:pPr>
      <w:r>
        <w:t>Bioassessment and habitat: $75,000</w:t>
      </w:r>
    </w:p>
    <w:p w:rsidR="00BC71ED" w:rsidRDefault="00BC71ED" w:rsidP="00C361AD">
      <w:pPr>
        <w:pStyle w:val="ListParagraph"/>
        <w:numPr>
          <w:ilvl w:val="2"/>
          <w:numId w:val="3"/>
        </w:numPr>
        <w:spacing w:line="240" w:lineRule="auto"/>
      </w:pPr>
      <w:r>
        <w:t>Water column and sediment chemistry: $75,000</w:t>
      </w:r>
    </w:p>
    <w:p w:rsidR="00D37AA4" w:rsidRPr="00FA2DD5" w:rsidRDefault="00BC71ED" w:rsidP="00FA2DD5">
      <w:pPr>
        <w:pStyle w:val="ListParagraph"/>
        <w:numPr>
          <w:ilvl w:val="2"/>
          <w:numId w:val="3"/>
        </w:numPr>
        <w:spacing w:line="240" w:lineRule="auto"/>
      </w:pPr>
      <w:r>
        <w:t>Analysis and reporting: $25,000</w:t>
      </w:r>
    </w:p>
    <w:p w:rsidR="00BC71ED" w:rsidRPr="007B0243" w:rsidRDefault="00BC71ED" w:rsidP="009E2A96">
      <w:pPr>
        <w:pStyle w:val="Heading1"/>
      </w:pPr>
      <w:r w:rsidRPr="007B0243">
        <w:t>Monitoring Plan</w:t>
      </w:r>
    </w:p>
    <w:p w:rsidR="007B0243" w:rsidRDefault="007B0243" w:rsidP="00C361AD">
      <w:pPr>
        <w:spacing w:line="240" w:lineRule="auto"/>
      </w:pPr>
      <w:r>
        <w:t>The monitoring program consists of two components at 4</w:t>
      </w:r>
      <w:r w:rsidR="008415C6">
        <w:t>5</w:t>
      </w:r>
      <w:r>
        <w:t xml:space="preserve"> sites throughout the Des Plaines River watershed</w:t>
      </w:r>
      <w:r w:rsidR="00D97F90">
        <w:t xml:space="preserve"> within Illinois</w:t>
      </w:r>
      <w:r>
        <w:t>.</w:t>
      </w:r>
      <w:r w:rsidR="007B04B1">
        <w:t xml:space="preserve">  The bioassessment program</w:t>
      </w:r>
      <w:r w:rsidR="008B025A">
        <w:t>,</w:t>
      </w:r>
      <w:r w:rsidR="007B04B1">
        <w:t xml:space="preserve"> </w:t>
      </w:r>
      <w:r w:rsidR="007B04B1">
        <w:t>consisting of monitoring fish, macroinvertebrates, and habitat</w:t>
      </w:r>
      <w:r w:rsidR="008B025A">
        <w:t>,</w:t>
      </w:r>
      <w:r w:rsidR="007B04B1">
        <w:t xml:space="preserve"> w</w:t>
      </w:r>
      <w:r w:rsidR="007B04B1">
        <w:t>ill be completed on a</w:t>
      </w:r>
      <w:r w:rsidR="00D97F90">
        <w:t>n annual</w:t>
      </w:r>
      <w:r w:rsidR="007B04B1">
        <w:t xml:space="preserve"> rotating basis</w:t>
      </w:r>
      <w:r w:rsidR="00D97F90">
        <w:t xml:space="preserve"> with a subset of sites being completed each year, dependent on cost and available funds</w:t>
      </w:r>
      <w:r w:rsidR="007B04B1">
        <w:t xml:space="preserve">.  </w:t>
      </w:r>
      <w:r w:rsidR="008A79C2">
        <w:t>Sediment chemistry will be conducted concurrently with bioassessment sites.  W</w:t>
      </w:r>
      <w:r w:rsidR="007B04B1">
        <w:t xml:space="preserve">ater </w:t>
      </w:r>
      <w:r w:rsidR="008A79C2">
        <w:t>column</w:t>
      </w:r>
      <w:r w:rsidR="007B04B1">
        <w:t xml:space="preserve"> chemistry monitoring will be </w:t>
      </w:r>
      <w:r w:rsidR="00F14425">
        <w:t>completed annually</w:t>
      </w:r>
      <w:r w:rsidR="007B04B1">
        <w:t xml:space="preserve"> with a tiered site design.</w:t>
      </w:r>
      <w:r w:rsidR="008A79C2">
        <w:t xml:space="preserve">  The monitoring design and protocol is modeled after the DuPage River Salt Creek Workgroup and the Lower DuPage River Watershed Coalition (Yoder 2012).</w:t>
      </w:r>
    </w:p>
    <w:p w:rsidR="006927D5" w:rsidRDefault="00C361AD" w:rsidP="009E2A96">
      <w:pPr>
        <w:pStyle w:val="Heading2"/>
        <w:ind w:firstLine="720"/>
      </w:pPr>
      <w:r w:rsidRPr="00C361AD">
        <w:t>Monitoring Sites</w:t>
      </w:r>
    </w:p>
    <w:p w:rsidR="00C361AD" w:rsidRDefault="00EC6504" w:rsidP="00EC6504">
      <w:pPr>
        <w:spacing w:after="0" w:line="240" w:lineRule="auto"/>
      </w:pPr>
      <w:r>
        <w:t>Monitoring sites are located on the main stem, tributaries, and within the headwaters</w:t>
      </w:r>
      <w:r w:rsidR="00FA2DD5">
        <w:t>, as shown in Figure 1</w:t>
      </w:r>
      <w:r w:rsidR="00E339B2">
        <w:t xml:space="preserve"> and Table 1</w:t>
      </w:r>
      <w:r>
        <w:t>.  POTWs are bracketed to determine to what effect effluent impacts the receiving waters.</w:t>
      </w:r>
      <w:r w:rsidR="00292384">
        <w:t xml:space="preserve">  Sites are also located to determine the influences of tributary streams</w:t>
      </w:r>
      <w:r w:rsidR="00E339B2">
        <w:t xml:space="preserve"> and other features, for example, the impact of online lakes</w:t>
      </w:r>
      <w:r w:rsidR="00292384">
        <w:t>.</w:t>
      </w:r>
    </w:p>
    <w:p w:rsidR="003F66B2" w:rsidRDefault="003F66B2" w:rsidP="009E2A96">
      <w:pPr>
        <w:pStyle w:val="Heading2"/>
        <w:ind w:firstLine="720"/>
      </w:pPr>
      <w:r w:rsidRPr="00C361AD">
        <w:t xml:space="preserve">Water </w:t>
      </w:r>
      <w:r w:rsidR="00FA2DD5">
        <w:t xml:space="preserve">Column </w:t>
      </w:r>
      <w:r w:rsidRPr="00C361AD">
        <w:t xml:space="preserve">and Sediment </w:t>
      </w:r>
      <w:r w:rsidR="00FA2DD5">
        <w:t>Chemistry Monitoring</w:t>
      </w:r>
    </w:p>
    <w:p w:rsidR="00C361AD" w:rsidRDefault="00C361AD" w:rsidP="00C361AD">
      <w:pPr>
        <w:spacing w:line="240" w:lineRule="auto"/>
      </w:pPr>
      <w:r>
        <w:t xml:space="preserve">Water </w:t>
      </w:r>
      <w:r w:rsidR="00E339B2">
        <w:t xml:space="preserve">column </w:t>
      </w:r>
      <w:r>
        <w:t xml:space="preserve">chemistry will be monitored </w:t>
      </w:r>
      <w:r w:rsidR="009C7B96">
        <w:t>using a</w:t>
      </w:r>
      <w:r w:rsidR="00F14425">
        <w:t xml:space="preserve"> t</w:t>
      </w:r>
      <w:r w:rsidR="007E060A">
        <w:t>iered site design</w:t>
      </w:r>
      <w:r>
        <w:t xml:space="preserve"> </w:t>
      </w:r>
      <w:r w:rsidR="009C7B96">
        <w:t xml:space="preserve">to </w:t>
      </w:r>
      <w:r>
        <w:t>allow for more frequent monitoring of sites with greater flow and tributary area while still allowing for comprehensive coverage of the wat</w:t>
      </w:r>
      <w:r w:rsidR="00FA2DD5">
        <w:t xml:space="preserve">ershed.  </w:t>
      </w:r>
      <w:r w:rsidR="00D2710A">
        <w:t xml:space="preserve">Samples will be collected using grab samples upstream of the monitoring station unless otherwise noted in site description maps.  </w:t>
      </w:r>
      <w:r w:rsidR="00E339B2">
        <w:t xml:space="preserve">Table 2 shows the parameters and </w:t>
      </w:r>
      <w:r w:rsidR="00184CE2">
        <w:t xml:space="preserve">summarizes the </w:t>
      </w:r>
      <w:r w:rsidR="00E339B2">
        <w:t xml:space="preserve">frequency </w:t>
      </w:r>
      <w:r w:rsidR="00184CE2">
        <w:t xml:space="preserve">of sampling described below </w:t>
      </w:r>
      <w:r w:rsidR="00E339B2">
        <w:t>for water column and sediment chemistry monitoring.</w:t>
      </w:r>
      <w:r w:rsidR="00D2710A">
        <w:t xml:space="preserve">  </w:t>
      </w:r>
    </w:p>
    <w:p w:rsidR="00C361AD" w:rsidRDefault="00F14425" w:rsidP="00C361AD">
      <w:pPr>
        <w:pStyle w:val="ListParagraph"/>
        <w:numPr>
          <w:ilvl w:val="0"/>
          <w:numId w:val="2"/>
        </w:numPr>
        <w:spacing w:line="240" w:lineRule="auto"/>
      </w:pPr>
      <w:r>
        <w:t>Tier 1: 11 sites</w:t>
      </w:r>
      <w:r w:rsidR="00FB6333">
        <w:t xml:space="preserve"> </w:t>
      </w:r>
      <w:r w:rsidR="009C7B96">
        <w:t xml:space="preserve">located on the mainstem Des Plaines River and Mill Creek, monthly May through September and in November and March </w:t>
      </w:r>
      <w:r w:rsidR="00FB6333">
        <w:t xml:space="preserve">monitored </w:t>
      </w:r>
      <w:r w:rsidR="009C7B96">
        <w:t>(seven</w:t>
      </w:r>
      <w:r w:rsidR="00FB6333">
        <w:t xml:space="preserve"> times</w:t>
      </w:r>
      <w:r w:rsidR="009C7B96">
        <w:t xml:space="preserve"> per year)</w:t>
      </w:r>
      <w:r w:rsidR="00FB6333">
        <w:t xml:space="preserve"> for </w:t>
      </w:r>
      <w:r w:rsidR="009C7B96">
        <w:t xml:space="preserve">all </w:t>
      </w:r>
      <w:r w:rsidR="00FB6333">
        <w:t>demand, nutrient, and bacteria</w:t>
      </w:r>
      <w:r w:rsidR="009C7B96">
        <w:t xml:space="preserve"> parameters</w:t>
      </w:r>
      <w:r w:rsidR="00FB6333">
        <w:t xml:space="preserve">; annually under low flow conditions for </w:t>
      </w:r>
      <w:r w:rsidR="001E5D7F">
        <w:t xml:space="preserve">water column metals, water organics, and once every </w:t>
      </w:r>
      <w:r w:rsidR="008A79C2">
        <w:t>f</w:t>
      </w:r>
      <w:r w:rsidR="001E5D7F">
        <w:t xml:space="preserve"> years concurrent with the bioassessment for sediment metals and sediment organics.</w:t>
      </w:r>
    </w:p>
    <w:p w:rsidR="00FA2DD5" w:rsidRDefault="00C361AD" w:rsidP="00FA2DD5">
      <w:pPr>
        <w:pStyle w:val="ListParagraph"/>
        <w:numPr>
          <w:ilvl w:val="0"/>
          <w:numId w:val="2"/>
        </w:numPr>
        <w:spacing w:line="240" w:lineRule="auto"/>
      </w:pPr>
      <w:r>
        <w:t>Tier 2</w:t>
      </w:r>
      <w:r w:rsidR="00F14425">
        <w:t xml:space="preserve">: </w:t>
      </w:r>
      <w:r w:rsidR="008A79C2">
        <w:t>11</w:t>
      </w:r>
      <w:r w:rsidR="009B1D65">
        <w:t xml:space="preserve"> </w:t>
      </w:r>
      <w:r w:rsidR="00FA2DD5">
        <w:t>sites</w:t>
      </w:r>
      <w:r w:rsidR="009B1D65">
        <w:t xml:space="preserve"> located on the Des Plaines and tributary streams for water and sediment chemistry will occur monthly from May through September and in November and March (seven times per year) for the majority of demand, nutrient, and bacteria parameters; annually under low flow conditions for water column metals, water organics, and once every three years concurrent with the bioassessment for sediment metals and sediment organics.  </w:t>
      </w:r>
    </w:p>
    <w:p w:rsidR="00C361AD" w:rsidRDefault="00C361AD" w:rsidP="00FA2DD5">
      <w:pPr>
        <w:pStyle w:val="ListParagraph"/>
        <w:numPr>
          <w:ilvl w:val="0"/>
          <w:numId w:val="2"/>
        </w:numPr>
        <w:spacing w:line="240" w:lineRule="auto"/>
      </w:pPr>
      <w:r>
        <w:lastRenderedPageBreak/>
        <w:t>Tier 3</w:t>
      </w:r>
      <w:r w:rsidR="00F14425">
        <w:t xml:space="preserve">: </w:t>
      </w:r>
      <w:r w:rsidR="00FA2DD5">
        <w:t>2</w:t>
      </w:r>
      <w:r w:rsidR="008A79C2">
        <w:t>3</w:t>
      </w:r>
      <w:r w:rsidR="00FA2DD5">
        <w:t xml:space="preserve"> stream stations located on the Des Plaines and tributary streams within the watershed for water and sediment chemistry will occur monthly from May through September and in November and March (seven times per year) for the majority of demand, nutrient, and bacteria parameters and once every three years concurrent with the bioassessment for sediment metals and sediment organics.  </w:t>
      </w:r>
    </w:p>
    <w:p w:rsidR="003F66B2" w:rsidRPr="00C361AD" w:rsidRDefault="003F66B2" w:rsidP="009E2A96">
      <w:pPr>
        <w:pStyle w:val="Heading2"/>
        <w:ind w:firstLine="720"/>
      </w:pPr>
      <w:r w:rsidRPr="00C361AD">
        <w:t>Bioassessment</w:t>
      </w:r>
    </w:p>
    <w:p w:rsidR="00655360" w:rsidRDefault="00292384" w:rsidP="00D2710A">
      <w:pPr>
        <w:spacing w:line="240" w:lineRule="auto"/>
      </w:pPr>
      <w:r>
        <w:t>The b</w:t>
      </w:r>
      <w:r w:rsidR="003F2235">
        <w:t xml:space="preserve">ioassessment </w:t>
      </w:r>
      <w:r>
        <w:t xml:space="preserve">will be conducted </w:t>
      </w:r>
      <w:r w:rsidR="003F2235">
        <w:t>on a rotating basis</w:t>
      </w:r>
      <w:r>
        <w:t>,</w:t>
      </w:r>
      <w:r w:rsidR="00EC6510">
        <w:t xml:space="preserve"> monitoring fish and </w:t>
      </w:r>
      <w:r w:rsidR="003F2235">
        <w:t>macroinvertebrate assemblages, ha</w:t>
      </w:r>
      <w:r w:rsidR="00771F3A">
        <w:t xml:space="preserve">bitat, and sediment chemistry with </w:t>
      </w:r>
      <w:r w:rsidR="008B025A">
        <w:t>one-third</w:t>
      </w:r>
      <w:r w:rsidR="008A79C2">
        <w:t xml:space="preserve"> </w:t>
      </w:r>
      <w:r w:rsidR="00771F3A">
        <w:t>of the stations sampled each year.  Biological sampling for fish and macroinvertebrate assemblage data</w:t>
      </w:r>
      <w:r w:rsidR="008A79C2">
        <w:t>, habitat, and sediment chemistry</w:t>
      </w:r>
      <w:r w:rsidR="00771F3A">
        <w:t xml:space="preserve"> should follow established protocols of the Illinois D</w:t>
      </w:r>
      <w:r w:rsidR="008B025A">
        <w:t>epartment of Natural Resources (Illinois D</w:t>
      </w:r>
      <w:r w:rsidR="00771F3A">
        <w:t>NR</w:t>
      </w:r>
      <w:r w:rsidR="008B025A">
        <w:t>;</w:t>
      </w:r>
      <w:r w:rsidR="00771F3A">
        <w:t xml:space="preserve"> 2001) and Illinois EPA (1997, 2005) </w:t>
      </w:r>
      <w:r w:rsidR="008A79C2">
        <w:t>and</w:t>
      </w:r>
      <w:r w:rsidR="00771F3A">
        <w:t xml:space="preserve"> be capable of producing comparable data and assessments.  Sampling methods will be determined based on whether the stream is </w:t>
      </w:r>
      <w:r w:rsidR="00EC6510">
        <w:t>non-wadeable or wadeable</w:t>
      </w:r>
      <w:r w:rsidR="009D64E2">
        <w:t>.</w:t>
      </w:r>
      <w:r w:rsidR="00655360">
        <w:t xml:space="preserve">  Ultimately methods will be determined by the contractor and documented in the Quality Assurance Project Plan (QAPP).</w:t>
      </w:r>
    </w:p>
    <w:p w:rsidR="00CB3766" w:rsidRPr="009E2A96" w:rsidRDefault="00CB3766" w:rsidP="009E2A96">
      <w:pPr>
        <w:pStyle w:val="Heading2"/>
        <w:ind w:firstLine="720"/>
      </w:pPr>
      <w:r w:rsidRPr="009E2A96">
        <w:t>Quality Assurance Project Plan</w:t>
      </w:r>
    </w:p>
    <w:p w:rsidR="00CB3766" w:rsidRDefault="00CB3766" w:rsidP="00D97F90">
      <w:pPr>
        <w:spacing w:after="0" w:line="240" w:lineRule="auto"/>
      </w:pPr>
      <w:r>
        <w:t xml:space="preserve">All monitoring will be conducted under an Illinois EPA approved </w:t>
      </w:r>
      <w:r w:rsidR="00775E03">
        <w:t>QAPP</w:t>
      </w:r>
      <w:r>
        <w:t xml:space="preserve">.  The DRWW will use the DuPage River Salt Creek Workgroup’s </w:t>
      </w:r>
      <w:r w:rsidR="009C7B96">
        <w:t xml:space="preserve">(DRSCW) </w:t>
      </w:r>
      <w:r>
        <w:t>approved QAPP and adapt it to be watershed specific.</w:t>
      </w:r>
      <w:r w:rsidR="00D97F90" w:rsidRPr="00D97F90">
        <w:t xml:space="preserve"> </w:t>
      </w:r>
      <w:r w:rsidR="00D97F90">
        <w:t>Illinois EPA requires the development of a QAPP for any</w:t>
      </w:r>
      <w:r w:rsidR="00E91D09">
        <w:t xml:space="preserve"> </w:t>
      </w:r>
      <w:r w:rsidR="00D97F90">
        <w:t>activity involving the collection and analysis of environmental data. A QAPP presents</w:t>
      </w:r>
      <w:r w:rsidR="00E91D09">
        <w:t xml:space="preserve"> </w:t>
      </w:r>
      <w:r w:rsidR="00D97F90">
        <w:t>the policies and procedures, organization, objectives, quality assurance requirements,</w:t>
      </w:r>
      <w:r w:rsidR="00E91D09">
        <w:t xml:space="preserve"> </w:t>
      </w:r>
      <w:r w:rsidR="00D97F90">
        <w:t>and quality control activities designed to achieve the type and quality of environmental</w:t>
      </w:r>
      <w:r w:rsidR="00E91D09">
        <w:t xml:space="preserve"> </w:t>
      </w:r>
      <w:r w:rsidR="00D97F90">
        <w:t>data necessary to support project or program objectives. It is the policy of Illinois EPA</w:t>
      </w:r>
      <w:r w:rsidR="00E91D09">
        <w:t xml:space="preserve"> </w:t>
      </w:r>
      <w:r w:rsidR="00D97F90">
        <w:t>that no data collection or analyses will occur without an approved</w:t>
      </w:r>
      <w:r w:rsidR="00775E03">
        <w:t xml:space="preserve"> QAPP</w:t>
      </w:r>
      <w:r w:rsidR="00D97F90">
        <w:t>. All in-house and</w:t>
      </w:r>
      <w:r w:rsidR="00E91D09">
        <w:t xml:space="preserve"> </w:t>
      </w:r>
      <w:r w:rsidR="00D97F90">
        <w:t>external environmental data collection activities are subject to this requirement. All</w:t>
      </w:r>
      <w:r w:rsidR="00E91D09">
        <w:t xml:space="preserve"> </w:t>
      </w:r>
      <w:r w:rsidR="00D97F90">
        <w:t>contracts must address quality assurance requirements (e.g., data quality and reporting</w:t>
      </w:r>
      <w:r w:rsidR="00E91D09">
        <w:t xml:space="preserve"> </w:t>
      </w:r>
      <w:r w:rsidR="00D97F90">
        <w:t>requirements) when those contracts pertain to, or have an impact on, data collection or</w:t>
      </w:r>
      <w:r w:rsidR="00E91D09">
        <w:t xml:space="preserve"> </w:t>
      </w:r>
      <w:r w:rsidR="00D97F90">
        <w:t>analysis activities. Additionally, all grants and contracts need to address quality</w:t>
      </w:r>
      <w:r w:rsidR="00E91D09">
        <w:t xml:space="preserve"> </w:t>
      </w:r>
      <w:r w:rsidR="00D97F90">
        <w:t>assurance requirements specified in applicable state acquisition or procurement</w:t>
      </w:r>
      <w:r w:rsidR="00E91D09">
        <w:t xml:space="preserve"> </w:t>
      </w:r>
      <w:r w:rsidR="00D97F90">
        <w:t xml:space="preserve">regulations. The </w:t>
      </w:r>
      <w:r w:rsidR="00775E03">
        <w:t>DRWW</w:t>
      </w:r>
      <w:r w:rsidR="00D97F90">
        <w:t xml:space="preserve"> QAPP </w:t>
      </w:r>
      <w:r w:rsidR="00775E03">
        <w:t>will</w:t>
      </w:r>
      <w:r w:rsidR="00771F3A">
        <w:t xml:space="preserve"> follow U.S.</w:t>
      </w:r>
      <w:r w:rsidR="00D97F90">
        <w:t xml:space="preserve"> guidance</w:t>
      </w:r>
      <w:r w:rsidR="00E91D09">
        <w:t xml:space="preserve"> </w:t>
      </w:r>
      <w:r w:rsidR="00D97F90">
        <w:t>for the development of a project specific QAPP.</w:t>
      </w:r>
    </w:p>
    <w:p w:rsidR="00C0057A" w:rsidRDefault="00C0057A" w:rsidP="00C0057A">
      <w:pPr>
        <w:pStyle w:val="Heading1"/>
      </w:pPr>
      <w:r>
        <w:t>References</w:t>
      </w:r>
    </w:p>
    <w:p w:rsidR="00C0057A" w:rsidRDefault="00C0057A" w:rsidP="00C0057A">
      <w:pPr>
        <w:spacing w:after="0" w:line="240" w:lineRule="auto"/>
      </w:pPr>
      <w:r>
        <w:t xml:space="preserve">Illinois DNR. 2001.  IDNR stream fisheries sampling guidelines.  Watershed Protection Section, </w:t>
      </w:r>
    </w:p>
    <w:p w:rsidR="00C0057A" w:rsidRDefault="00C0057A" w:rsidP="00C0057A">
      <w:pPr>
        <w:spacing w:after="0" w:line="240" w:lineRule="auto"/>
      </w:pPr>
      <w:r>
        <w:tab/>
        <w:t>Springfield, IL. 9 pp.</w:t>
      </w:r>
    </w:p>
    <w:p w:rsidR="00C0057A" w:rsidRDefault="00C0057A" w:rsidP="00D97F90">
      <w:pPr>
        <w:spacing w:after="0" w:line="240" w:lineRule="auto"/>
      </w:pPr>
      <w:r>
        <w:t xml:space="preserve">Illinois EPA. 2005.  Methods of collecting macroinvertebrates in streams (July 11, 2005 draft).  Bureau of </w:t>
      </w:r>
    </w:p>
    <w:p w:rsidR="00C0057A" w:rsidRDefault="00C0057A" w:rsidP="00D97F90">
      <w:pPr>
        <w:spacing w:after="0" w:line="240" w:lineRule="auto"/>
      </w:pPr>
      <w:r>
        <w:tab/>
        <w:t>Water, Springfield IL. BOW No. xxxx. 6 pp.</w:t>
      </w:r>
    </w:p>
    <w:p w:rsidR="00C0057A" w:rsidRDefault="00C0057A" w:rsidP="00D97F90">
      <w:pPr>
        <w:spacing w:after="0" w:line="240" w:lineRule="auto"/>
      </w:pPr>
      <w:r>
        <w:t xml:space="preserve">Illinois EPA. 1997.  Quality assurance methods manual.  Section G: Procedures for fish sampling, </w:t>
      </w:r>
    </w:p>
    <w:p w:rsidR="00C0057A" w:rsidRDefault="00C0057A" w:rsidP="00D97F90">
      <w:pPr>
        <w:spacing w:after="0" w:line="240" w:lineRule="auto"/>
      </w:pPr>
      <w:r>
        <w:tab/>
        <w:t>electrofishing safety, and fish contaminant methods.  Bureau of Water, Springfield, IL. 39 pp.</w:t>
      </w:r>
    </w:p>
    <w:p w:rsidR="000221CE" w:rsidRDefault="00A5126A" w:rsidP="000221CE">
      <w:pPr>
        <w:spacing w:after="0" w:line="240" w:lineRule="auto"/>
      </w:pPr>
      <w:r>
        <w:t xml:space="preserve">Yoder, C.O.  2012. </w:t>
      </w:r>
      <w:r w:rsidR="000221CE">
        <w:t xml:space="preserve">Quality Assurance Project Plan: Biological and Habitat Assessment of the </w:t>
      </w:r>
      <w:r>
        <w:t xml:space="preserve">DuPage </w:t>
      </w:r>
    </w:p>
    <w:p w:rsidR="00A5126A" w:rsidRDefault="000221CE" w:rsidP="000221CE">
      <w:pPr>
        <w:spacing w:after="0" w:line="240" w:lineRule="auto"/>
      </w:pPr>
      <w:r>
        <w:tab/>
      </w:r>
      <w:r w:rsidR="00A5126A">
        <w:t>River</w:t>
      </w:r>
      <w:r>
        <w:t xml:space="preserve"> and</w:t>
      </w:r>
      <w:r w:rsidR="00A5126A">
        <w:t xml:space="preserve"> Salt </w:t>
      </w:r>
      <w:r>
        <w:t>Watersheds</w:t>
      </w:r>
      <w:r w:rsidR="00A5126A">
        <w:t xml:space="preserve">.  </w:t>
      </w:r>
    </w:p>
    <w:p w:rsidR="00FA2DD5" w:rsidRDefault="00FA2DD5" w:rsidP="00D97F90">
      <w:pPr>
        <w:spacing w:after="0" w:line="240" w:lineRule="auto"/>
      </w:pPr>
    </w:p>
    <w:p w:rsidR="00FA2DD5" w:rsidRDefault="00FA2DD5" w:rsidP="00FA2DD5">
      <w:pPr>
        <w:spacing w:line="240" w:lineRule="auto"/>
        <w:jc w:val="center"/>
      </w:pPr>
    </w:p>
    <w:p w:rsidR="00FA2DD5" w:rsidRDefault="00FA2DD5" w:rsidP="00FA2DD5">
      <w:pPr>
        <w:spacing w:line="240" w:lineRule="auto"/>
        <w:jc w:val="center"/>
      </w:pPr>
    </w:p>
    <w:p w:rsidR="00FA2DD5" w:rsidRDefault="00FA2DD5" w:rsidP="00FA2DD5">
      <w:pPr>
        <w:spacing w:line="240" w:lineRule="auto"/>
        <w:jc w:val="center"/>
      </w:pPr>
    </w:p>
    <w:p w:rsidR="00FA2DD5" w:rsidRDefault="00FA2DD5" w:rsidP="00FA2DD5">
      <w:pPr>
        <w:spacing w:line="240" w:lineRule="auto"/>
        <w:jc w:val="center"/>
      </w:pPr>
    </w:p>
    <w:p w:rsidR="00FA2DD5" w:rsidRDefault="00FA2DD5" w:rsidP="00FA2DD5">
      <w:pPr>
        <w:spacing w:line="240" w:lineRule="auto"/>
        <w:jc w:val="center"/>
      </w:pPr>
      <w:r>
        <w:lastRenderedPageBreak/>
        <w:t>Figure 1: Water Quality Sampling Locations</w:t>
      </w:r>
      <w:r>
        <w:rPr>
          <w:noProof/>
        </w:rPr>
        <w:drawing>
          <wp:inline distT="0" distB="0" distL="0" distR="0" wp14:anchorId="78F1D6FF" wp14:editId="70D1DC56">
            <wp:extent cx="4503419" cy="79472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 4 - DesPlaines Watershed Map with WWTP and DAF with 303(d) Waters -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3419" cy="7947211"/>
                    </a:xfrm>
                    <a:prstGeom prst="rect">
                      <a:avLst/>
                    </a:prstGeom>
                  </pic:spPr>
                </pic:pic>
              </a:graphicData>
            </a:graphic>
          </wp:inline>
        </w:drawing>
      </w:r>
      <w:bookmarkStart w:id="0" w:name="_GoBack"/>
      <w:bookmarkEnd w:id="0"/>
    </w:p>
    <w:p w:rsidR="00FA2DD5" w:rsidRDefault="00FA2DD5" w:rsidP="00FA2DD5">
      <w:pPr>
        <w:spacing w:line="240" w:lineRule="auto"/>
      </w:pPr>
      <w:r>
        <w:br w:type="page"/>
      </w:r>
      <w:r>
        <w:lastRenderedPageBreak/>
        <w:t>Table 1: Water Quality Sampling Locations</w:t>
      </w:r>
    </w:p>
    <w:tbl>
      <w:tblPr>
        <w:tblW w:w="943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3076"/>
        <w:gridCol w:w="3780"/>
        <w:gridCol w:w="959"/>
        <w:gridCol w:w="540"/>
        <w:gridCol w:w="630"/>
        <w:gridCol w:w="450"/>
      </w:tblGrid>
      <w:tr w:rsidR="00F222CD" w:rsidRPr="0084338C" w:rsidTr="00D5231C">
        <w:trPr>
          <w:trHeight w:val="228"/>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Des Plaines River Sample Locations</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Street</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Station ID</w:t>
            </w:r>
          </w:p>
        </w:tc>
        <w:tc>
          <w:tcPr>
            <w:tcW w:w="1620" w:type="dxa"/>
            <w:gridSpan w:val="3"/>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Bioassessment</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 </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 </w:t>
            </w:r>
          </w:p>
        </w:tc>
        <w:tc>
          <w:tcPr>
            <w:tcW w:w="1620" w:type="dxa"/>
            <w:gridSpan w:val="3"/>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Tier Designation</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Upper Des Plaines</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Russe</w:t>
            </w:r>
            <w:r>
              <w:rPr>
                <w:rFonts w:ascii="Calibri" w:eastAsia="Times New Roman" w:hAnsi="Calibri" w:cs="Times New Roman"/>
                <w:color w:val="000000"/>
                <w:sz w:val="18"/>
                <w:szCs w:val="18"/>
              </w:rPr>
              <w:t>l</w:t>
            </w:r>
            <w:r w:rsidRPr="0084338C">
              <w:rPr>
                <w:rFonts w:ascii="Calibri" w:eastAsia="Times New Roman" w:hAnsi="Calibri" w:cs="Times New Roman"/>
                <w:color w:val="000000"/>
                <w:sz w:val="18"/>
                <w:szCs w:val="18"/>
              </w:rPr>
              <w:t>l Rd</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13-6</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Highway 173</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13-5</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w:t>
            </w: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Wadsworth Rd</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13-4</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2</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Above Highway 41</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13-3</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McClure Ave</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13-2</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Highway 120</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13-1</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Lower Des Plaines</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Rockland Rd</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16-7</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CN Railroad</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16-6</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Highway 60</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16-5</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Half Day Rd</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16-4</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Deerfield Rd</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16-3</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Lake Cook Rd</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16-2</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Willow Rd</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16-1</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Upper Des Plaines Tributaries</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Bull's Brook @ R</w:t>
            </w:r>
            <w:r>
              <w:rPr>
                <w:rFonts w:ascii="Calibri" w:eastAsia="Times New Roman" w:hAnsi="Calibri" w:cs="Times New Roman"/>
                <w:color w:val="000000"/>
                <w:sz w:val="18"/>
                <w:szCs w:val="18"/>
              </w:rPr>
              <w:t>oute</w:t>
            </w:r>
            <w:r w:rsidRPr="0084338C">
              <w:rPr>
                <w:rFonts w:ascii="Calibri" w:eastAsia="Times New Roman" w:hAnsi="Calibri" w:cs="Times New Roman"/>
                <w:color w:val="000000"/>
                <w:sz w:val="18"/>
                <w:szCs w:val="18"/>
              </w:rPr>
              <w:t xml:space="preserve"> 21</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13-7</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Belvidere Rd Tributary @ Highway 21 and 120</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13-8</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Stoneroller @ Lake Carina</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13-9</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Suburban Country Club Trib</w:t>
            </w:r>
            <w:r>
              <w:rPr>
                <w:rFonts w:ascii="Calibri" w:eastAsia="Times New Roman" w:hAnsi="Calibri" w:cs="Times New Roman"/>
                <w:color w:val="000000"/>
                <w:sz w:val="18"/>
                <w:szCs w:val="18"/>
              </w:rPr>
              <w:t>utary</w:t>
            </w:r>
            <w:r w:rsidRPr="0084338C">
              <w:rPr>
                <w:rFonts w:ascii="Calibri" w:eastAsia="Times New Roman" w:hAnsi="Calibri" w:cs="Times New Roman"/>
                <w:color w:val="000000"/>
                <w:sz w:val="18"/>
                <w:szCs w:val="18"/>
              </w:rPr>
              <w:t xml:space="preserve"> @ Shirley Dr</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13-10</w:t>
            </w:r>
          </w:p>
        </w:tc>
        <w:tc>
          <w:tcPr>
            <w:tcW w:w="54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Slocum Corners Creek @ Mill Creek Rd</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13-11</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Newport</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Newport Drainage Ditch @ Kilbourne Ave</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xml:space="preserve">  12-1</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North Mill</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Milburn Rd</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xml:space="preserve"> 10-1</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Kelly Rd</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xml:space="preserve"> 10-2</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Route 173</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xml:space="preserve"> 10-3</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2</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Miller Rd</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xml:space="preserve"> 10-4</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2</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Grass Lake Rd</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xml:space="preserve"> 10-5</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Mill Creek</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Dilley's Rd</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xml:space="preserve"> 11-1</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Hunt Club Rd</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xml:space="preserve"> 11-2</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2</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xml:space="preserve">Stearns School Rd </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xml:space="preserve"> 11-3</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Route 45</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xml:space="preserve"> 11-4</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Washington St</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xml:space="preserve"> 11-5 </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Wick St</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xml:space="preserve"> 11-6</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Bull Creek</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Bull Creek @ R</w:t>
            </w:r>
            <w:r>
              <w:rPr>
                <w:rFonts w:ascii="Calibri" w:eastAsia="Times New Roman" w:hAnsi="Calibri" w:cs="Times New Roman"/>
                <w:color w:val="000000"/>
                <w:sz w:val="18"/>
                <w:szCs w:val="18"/>
              </w:rPr>
              <w:t>ou</w:t>
            </w:r>
            <w:r w:rsidRPr="0084338C">
              <w:rPr>
                <w:rFonts w:ascii="Calibri" w:eastAsia="Times New Roman" w:hAnsi="Calibri" w:cs="Times New Roman"/>
                <w:color w:val="000000"/>
                <w:sz w:val="18"/>
                <w:szCs w:val="18"/>
              </w:rPr>
              <w:t>t</w:t>
            </w:r>
            <w:r>
              <w:rPr>
                <w:rFonts w:ascii="Calibri" w:eastAsia="Times New Roman" w:hAnsi="Calibri" w:cs="Times New Roman"/>
                <w:color w:val="000000"/>
                <w:sz w:val="18"/>
                <w:szCs w:val="18"/>
              </w:rPr>
              <w:t>e</w:t>
            </w:r>
            <w:r w:rsidRPr="0084338C">
              <w:rPr>
                <w:rFonts w:ascii="Calibri" w:eastAsia="Times New Roman" w:hAnsi="Calibri" w:cs="Times New Roman"/>
                <w:color w:val="000000"/>
                <w:sz w:val="18"/>
                <w:szCs w:val="18"/>
              </w:rPr>
              <w:t xml:space="preserve"> 21</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14-1</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2</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Route 137</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14-2</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Indian Creek</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Marriot Lincolnshire Grounds</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15-1</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2</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Sullivan Wood Preserve, North of Creek View Dr</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15-2</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2</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D5231C" w:rsidP="00FA2DD5">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Greggs Parkway</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15-3</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Port Clinton Rd @ Kildeer Creek</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15-4</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Oak Wood Rd</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15-5</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Washitay Ave</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15-6</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Salem Lake Dr</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15-7</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Aptakisic</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Pekara Rd</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18-2</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Aspen Rd</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18-1</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2</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Buffalo Creek</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Lake Cook Rd @ Farington Ditch</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17-2</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Checker</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17-3</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Lake Cook Rd @ Buffalo Creek Tributary A</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17-4</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2</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Route 21</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17-1</w:t>
            </w:r>
          </w:p>
        </w:tc>
        <w:tc>
          <w:tcPr>
            <w:tcW w:w="54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3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2</w:t>
            </w:r>
          </w:p>
        </w:tc>
        <w:tc>
          <w:tcPr>
            <w:tcW w:w="450"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F222CD" w:rsidRPr="0084338C" w:rsidTr="00D5231C">
        <w:trPr>
          <w:trHeight w:val="231"/>
          <w:jc w:val="center"/>
        </w:trPr>
        <w:tc>
          <w:tcPr>
            <w:tcW w:w="3076" w:type="dxa"/>
            <w:shd w:val="clear" w:color="auto" w:fill="auto"/>
            <w:noWrap/>
            <w:vAlign w:val="bottom"/>
            <w:hideMark/>
          </w:tcPr>
          <w:p w:rsidR="00F222CD" w:rsidRPr="0084338C" w:rsidRDefault="00F222CD" w:rsidP="00FA2DD5">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0" w:type="dxa"/>
            <w:shd w:val="clear" w:color="auto" w:fill="auto"/>
            <w:noWrap/>
            <w:vAlign w:val="bottom"/>
            <w:hideMark/>
          </w:tcPr>
          <w:p w:rsidR="00F222CD" w:rsidRPr="00042D8C" w:rsidRDefault="00F222CD" w:rsidP="00FA2DD5">
            <w:pPr>
              <w:spacing w:after="0" w:line="240" w:lineRule="auto"/>
              <w:jc w:val="right"/>
              <w:rPr>
                <w:rFonts w:ascii="Calibri" w:eastAsia="Times New Roman" w:hAnsi="Calibri" w:cs="Times New Roman"/>
                <w:b/>
                <w:color w:val="000000"/>
                <w:sz w:val="18"/>
                <w:szCs w:val="18"/>
              </w:rPr>
            </w:pPr>
            <w:r w:rsidRPr="0084338C">
              <w:rPr>
                <w:rFonts w:ascii="Calibri" w:eastAsia="Times New Roman" w:hAnsi="Calibri" w:cs="Times New Roman"/>
                <w:color w:val="000000"/>
                <w:sz w:val="18"/>
                <w:szCs w:val="18"/>
              </w:rPr>
              <w:t> </w:t>
            </w:r>
            <w:r w:rsidRPr="00042D8C">
              <w:rPr>
                <w:rFonts w:ascii="Calibri" w:eastAsia="Times New Roman" w:hAnsi="Calibri" w:cs="Times New Roman"/>
                <w:b/>
                <w:color w:val="000000"/>
                <w:sz w:val="18"/>
                <w:szCs w:val="18"/>
              </w:rPr>
              <w:t>Total</w:t>
            </w:r>
          </w:p>
        </w:tc>
        <w:tc>
          <w:tcPr>
            <w:tcW w:w="959" w:type="dxa"/>
            <w:shd w:val="clear" w:color="auto" w:fill="auto"/>
            <w:noWrap/>
            <w:vAlign w:val="bottom"/>
            <w:hideMark/>
          </w:tcPr>
          <w:p w:rsidR="00F222CD" w:rsidRPr="0084338C" w:rsidRDefault="00F222CD" w:rsidP="00FA2DD5">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540" w:type="dxa"/>
            <w:shd w:val="clear" w:color="auto" w:fill="auto"/>
            <w:noWrap/>
            <w:vAlign w:val="bottom"/>
            <w:hideMark/>
          </w:tcPr>
          <w:p w:rsidR="00F222CD" w:rsidRPr="00042D8C" w:rsidRDefault="00F222CD" w:rsidP="00FA2DD5">
            <w:pPr>
              <w:spacing w:after="0" w:line="240" w:lineRule="auto"/>
              <w:jc w:val="center"/>
              <w:rPr>
                <w:rFonts w:ascii="Calibri" w:eastAsia="Times New Roman" w:hAnsi="Calibri" w:cs="Times New Roman"/>
                <w:b/>
                <w:color w:val="000000"/>
                <w:sz w:val="18"/>
                <w:szCs w:val="18"/>
              </w:rPr>
            </w:pPr>
            <w:r w:rsidRPr="00042D8C">
              <w:rPr>
                <w:rFonts w:ascii="Calibri" w:eastAsia="Times New Roman" w:hAnsi="Calibri" w:cs="Times New Roman"/>
                <w:b/>
                <w:color w:val="000000"/>
                <w:sz w:val="18"/>
                <w:szCs w:val="18"/>
              </w:rPr>
              <w:t>11</w:t>
            </w:r>
          </w:p>
        </w:tc>
        <w:tc>
          <w:tcPr>
            <w:tcW w:w="630" w:type="dxa"/>
            <w:shd w:val="clear" w:color="auto" w:fill="auto"/>
            <w:noWrap/>
            <w:vAlign w:val="bottom"/>
            <w:hideMark/>
          </w:tcPr>
          <w:p w:rsidR="00F222CD" w:rsidRPr="00042D8C" w:rsidRDefault="00F222CD" w:rsidP="00FA2DD5">
            <w:pPr>
              <w:spacing w:after="0" w:line="240" w:lineRule="auto"/>
              <w:jc w:val="center"/>
              <w:rPr>
                <w:rFonts w:ascii="Calibri" w:eastAsia="Times New Roman" w:hAnsi="Calibri" w:cs="Times New Roman"/>
                <w:b/>
                <w:color w:val="000000"/>
                <w:sz w:val="18"/>
                <w:szCs w:val="18"/>
              </w:rPr>
            </w:pPr>
            <w:r>
              <w:rPr>
                <w:rFonts w:ascii="Calibri" w:eastAsia="Times New Roman" w:hAnsi="Calibri" w:cs="Times New Roman"/>
                <w:b/>
                <w:color w:val="000000"/>
                <w:sz w:val="18"/>
                <w:szCs w:val="18"/>
              </w:rPr>
              <w:t>11</w:t>
            </w:r>
          </w:p>
        </w:tc>
        <w:tc>
          <w:tcPr>
            <w:tcW w:w="450" w:type="dxa"/>
            <w:shd w:val="clear" w:color="auto" w:fill="auto"/>
            <w:noWrap/>
            <w:vAlign w:val="bottom"/>
            <w:hideMark/>
          </w:tcPr>
          <w:p w:rsidR="00F222CD" w:rsidRPr="00042D8C" w:rsidRDefault="00F222CD" w:rsidP="00FA2DD5">
            <w:pPr>
              <w:spacing w:after="0" w:line="240" w:lineRule="auto"/>
              <w:jc w:val="center"/>
              <w:rPr>
                <w:rFonts w:ascii="Calibri" w:eastAsia="Times New Roman" w:hAnsi="Calibri" w:cs="Times New Roman"/>
                <w:b/>
                <w:color w:val="000000"/>
                <w:sz w:val="18"/>
                <w:szCs w:val="18"/>
              </w:rPr>
            </w:pPr>
            <w:r>
              <w:rPr>
                <w:rFonts w:ascii="Calibri" w:eastAsia="Times New Roman" w:hAnsi="Calibri" w:cs="Times New Roman"/>
                <w:b/>
                <w:color w:val="000000"/>
                <w:sz w:val="18"/>
                <w:szCs w:val="18"/>
              </w:rPr>
              <w:t>23</w:t>
            </w:r>
          </w:p>
        </w:tc>
      </w:tr>
    </w:tbl>
    <w:p w:rsidR="00FA2DD5" w:rsidRDefault="00FA2DD5" w:rsidP="00FA2DD5">
      <w:pPr>
        <w:spacing w:line="240" w:lineRule="auto"/>
      </w:pPr>
    </w:p>
    <w:p w:rsidR="00FA2DD5" w:rsidRDefault="00FA2DD5" w:rsidP="00FA2DD5">
      <w:pPr>
        <w:spacing w:line="240" w:lineRule="auto"/>
      </w:pPr>
    </w:p>
    <w:p w:rsidR="00FA2DD5" w:rsidRDefault="00FA2DD5" w:rsidP="00FA2DD5">
      <w:pPr>
        <w:spacing w:line="240" w:lineRule="auto"/>
      </w:pPr>
      <w:r>
        <w:lastRenderedPageBreak/>
        <w:t>Table 2: Water Quality Sampling Parameters</w:t>
      </w:r>
    </w:p>
    <w:tbl>
      <w:tblPr>
        <w:tblW w:w="9673" w:type="dxa"/>
        <w:tblInd w:w="-113" w:type="dxa"/>
        <w:tblLook w:val="04A0" w:firstRow="1" w:lastRow="0" w:firstColumn="1" w:lastColumn="0" w:noHBand="0" w:noVBand="1"/>
      </w:tblPr>
      <w:tblGrid>
        <w:gridCol w:w="2753"/>
        <w:gridCol w:w="3080"/>
        <w:gridCol w:w="1280"/>
        <w:gridCol w:w="1280"/>
        <w:gridCol w:w="1280"/>
      </w:tblGrid>
      <w:tr w:rsidR="00FA2DD5" w:rsidRPr="00B42AE6" w:rsidTr="00FA2DD5">
        <w:trPr>
          <w:trHeight w:val="240"/>
        </w:trPr>
        <w:tc>
          <w:tcPr>
            <w:tcW w:w="2753" w:type="dxa"/>
            <w:tcBorders>
              <w:top w:val="double" w:sz="6" w:space="0" w:color="auto"/>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b/>
                <w:bCs/>
                <w:color w:val="000000"/>
                <w:sz w:val="20"/>
                <w:szCs w:val="20"/>
              </w:rPr>
            </w:pPr>
            <w:r w:rsidRPr="00B42AE6">
              <w:rPr>
                <w:rFonts w:ascii="Calibri" w:eastAsia="Times New Roman" w:hAnsi="Calibri" w:cs="Times New Roman"/>
                <w:b/>
                <w:bCs/>
                <w:color w:val="000000"/>
                <w:sz w:val="20"/>
                <w:szCs w:val="20"/>
              </w:rPr>
              <w:t>Parameter</w:t>
            </w:r>
          </w:p>
        </w:tc>
        <w:tc>
          <w:tcPr>
            <w:tcW w:w="3080" w:type="dxa"/>
            <w:tcBorders>
              <w:top w:val="double" w:sz="6" w:space="0" w:color="auto"/>
              <w:left w:val="nil"/>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b/>
                <w:bCs/>
                <w:color w:val="000000"/>
                <w:sz w:val="20"/>
                <w:szCs w:val="20"/>
              </w:rPr>
            </w:pPr>
            <w:r w:rsidRPr="00B42AE6">
              <w:rPr>
                <w:rFonts w:ascii="Calibri" w:eastAsia="Times New Roman" w:hAnsi="Calibri" w:cs="Times New Roman"/>
                <w:b/>
                <w:bCs/>
                <w:color w:val="000000"/>
                <w:sz w:val="20"/>
                <w:szCs w:val="20"/>
              </w:rPr>
              <w:t>DRWW Frequency</w:t>
            </w:r>
          </w:p>
        </w:tc>
        <w:tc>
          <w:tcPr>
            <w:tcW w:w="1280" w:type="dxa"/>
            <w:tcBorders>
              <w:top w:val="double" w:sz="6" w:space="0" w:color="auto"/>
              <w:left w:val="nil"/>
              <w:bottom w:val="single" w:sz="4" w:space="0" w:color="auto"/>
              <w:right w:val="single" w:sz="4" w:space="0" w:color="auto"/>
            </w:tcBorders>
            <w:shd w:val="clear" w:color="000000" w:fill="D9D9D9"/>
            <w:noWrap/>
            <w:vAlign w:val="bottom"/>
            <w:hideMark/>
          </w:tcPr>
          <w:p w:rsidR="00FA2DD5" w:rsidRPr="00B42AE6" w:rsidRDefault="00FA2DD5" w:rsidP="00FA2DD5">
            <w:pPr>
              <w:spacing w:after="0" w:line="240" w:lineRule="auto"/>
              <w:jc w:val="center"/>
              <w:rPr>
                <w:rFonts w:ascii="Calibri" w:eastAsia="Times New Roman" w:hAnsi="Calibri" w:cs="Times New Roman"/>
                <w:b/>
                <w:bCs/>
                <w:color w:val="000000"/>
                <w:sz w:val="20"/>
                <w:szCs w:val="20"/>
              </w:rPr>
            </w:pPr>
            <w:r w:rsidRPr="00B42AE6">
              <w:rPr>
                <w:rFonts w:ascii="Calibri" w:eastAsia="Times New Roman" w:hAnsi="Calibri" w:cs="Times New Roman"/>
                <w:b/>
                <w:bCs/>
                <w:color w:val="000000"/>
                <w:sz w:val="20"/>
                <w:szCs w:val="20"/>
              </w:rPr>
              <w:t xml:space="preserve">Tier 1  </w:t>
            </w:r>
          </w:p>
        </w:tc>
        <w:tc>
          <w:tcPr>
            <w:tcW w:w="1280" w:type="dxa"/>
            <w:tcBorders>
              <w:top w:val="double" w:sz="6" w:space="0" w:color="auto"/>
              <w:left w:val="nil"/>
              <w:bottom w:val="single" w:sz="4" w:space="0" w:color="auto"/>
              <w:right w:val="single" w:sz="4" w:space="0" w:color="auto"/>
            </w:tcBorders>
            <w:shd w:val="clear" w:color="000000" w:fill="D9D9D9"/>
            <w:noWrap/>
            <w:vAlign w:val="bottom"/>
            <w:hideMark/>
          </w:tcPr>
          <w:p w:rsidR="00FA2DD5" w:rsidRPr="00B42AE6" w:rsidRDefault="00FA2DD5" w:rsidP="00FA2DD5">
            <w:pPr>
              <w:spacing w:after="0" w:line="240" w:lineRule="auto"/>
              <w:jc w:val="center"/>
              <w:rPr>
                <w:rFonts w:ascii="Calibri" w:eastAsia="Times New Roman" w:hAnsi="Calibri" w:cs="Times New Roman"/>
                <w:b/>
                <w:bCs/>
                <w:color w:val="000000"/>
                <w:sz w:val="20"/>
                <w:szCs w:val="20"/>
              </w:rPr>
            </w:pPr>
            <w:r w:rsidRPr="00B42AE6">
              <w:rPr>
                <w:rFonts w:ascii="Calibri" w:eastAsia="Times New Roman" w:hAnsi="Calibri" w:cs="Times New Roman"/>
                <w:b/>
                <w:bCs/>
                <w:color w:val="000000"/>
                <w:sz w:val="20"/>
                <w:szCs w:val="20"/>
              </w:rPr>
              <w:t>Tier 2</w:t>
            </w:r>
          </w:p>
        </w:tc>
        <w:tc>
          <w:tcPr>
            <w:tcW w:w="1280" w:type="dxa"/>
            <w:tcBorders>
              <w:top w:val="double" w:sz="6" w:space="0" w:color="auto"/>
              <w:left w:val="nil"/>
              <w:bottom w:val="single" w:sz="4" w:space="0" w:color="auto"/>
              <w:right w:val="double" w:sz="6" w:space="0" w:color="auto"/>
            </w:tcBorders>
            <w:shd w:val="clear" w:color="000000" w:fill="D9D9D9"/>
            <w:noWrap/>
            <w:vAlign w:val="bottom"/>
            <w:hideMark/>
          </w:tcPr>
          <w:p w:rsidR="00FA2DD5" w:rsidRPr="00B42AE6" w:rsidRDefault="00FA2DD5" w:rsidP="00FA2DD5">
            <w:pPr>
              <w:spacing w:after="0" w:line="240" w:lineRule="auto"/>
              <w:jc w:val="center"/>
              <w:rPr>
                <w:rFonts w:ascii="Calibri" w:eastAsia="Times New Roman" w:hAnsi="Calibri" w:cs="Times New Roman"/>
                <w:b/>
                <w:bCs/>
                <w:color w:val="000000"/>
                <w:sz w:val="20"/>
                <w:szCs w:val="20"/>
              </w:rPr>
            </w:pPr>
            <w:r w:rsidRPr="00B42AE6">
              <w:rPr>
                <w:rFonts w:ascii="Calibri" w:eastAsia="Times New Roman" w:hAnsi="Calibri" w:cs="Times New Roman"/>
                <w:b/>
                <w:bCs/>
                <w:color w:val="000000"/>
                <w:sz w:val="20"/>
                <w:szCs w:val="20"/>
              </w:rPr>
              <w:t>Tier 3</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b/>
                <w:bCs/>
                <w:color w:val="000000"/>
                <w:sz w:val="20"/>
                <w:szCs w:val="20"/>
                <w:u w:val="single"/>
              </w:rPr>
            </w:pPr>
            <w:r w:rsidRPr="00B42AE6">
              <w:rPr>
                <w:rFonts w:ascii="Calibri" w:eastAsia="Times New Roman" w:hAnsi="Calibri" w:cs="Times New Roman"/>
                <w:b/>
                <w:bCs/>
                <w:color w:val="000000"/>
                <w:sz w:val="20"/>
                <w:szCs w:val="20"/>
                <w:u w:val="single"/>
              </w:rPr>
              <w:t>Demand</w:t>
            </w:r>
          </w:p>
        </w:tc>
        <w:tc>
          <w:tcPr>
            <w:tcW w:w="3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b/>
                <w:bCs/>
                <w:color w:val="000000"/>
                <w:sz w:val="20"/>
                <w:szCs w:val="20"/>
              </w:rPr>
            </w:pPr>
            <w:r w:rsidRPr="00B42AE6">
              <w:rPr>
                <w:rFonts w:ascii="Calibri" w:eastAsia="Times New Roman" w:hAnsi="Calibri" w:cs="Times New Roman"/>
                <w:b/>
                <w:bCs/>
                <w:color w:val="000000"/>
                <w:sz w:val="20"/>
                <w:szCs w:val="20"/>
              </w:rPr>
              <w:t> </w:t>
            </w:r>
          </w:p>
        </w:tc>
        <w:tc>
          <w:tcPr>
            <w:tcW w:w="3840" w:type="dxa"/>
            <w:gridSpan w:val="3"/>
            <w:tcBorders>
              <w:top w:val="single" w:sz="4" w:space="0" w:color="auto"/>
              <w:left w:val="nil"/>
              <w:bottom w:val="single" w:sz="4" w:space="0" w:color="auto"/>
              <w:right w:val="double" w:sz="6" w:space="0" w:color="000000"/>
            </w:tcBorders>
            <w:shd w:val="clear" w:color="000000" w:fill="D9D9D9"/>
            <w:noWrap/>
            <w:vAlign w:val="bottom"/>
            <w:hideMark/>
          </w:tcPr>
          <w:p w:rsidR="00FA2DD5" w:rsidRPr="00B42AE6" w:rsidRDefault="00FA2DD5" w:rsidP="00FA2DD5">
            <w:pPr>
              <w:spacing w:after="0" w:line="240" w:lineRule="auto"/>
              <w:jc w:val="center"/>
              <w:rPr>
                <w:rFonts w:ascii="Calibri" w:eastAsia="Times New Roman" w:hAnsi="Calibri" w:cs="Times New Roman"/>
                <w:b/>
                <w:bCs/>
                <w:color w:val="000000"/>
                <w:sz w:val="20"/>
                <w:szCs w:val="20"/>
              </w:rPr>
            </w:pPr>
            <w:r w:rsidRPr="00B42AE6">
              <w:rPr>
                <w:rFonts w:ascii="Calibri" w:eastAsia="Times New Roman" w:hAnsi="Calibri" w:cs="Times New Roman"/>
                <w:b/>
                <w:bCs/>
                <w:color w:val="000000"/>
                <w:sz w:val="20"/>
                <w:szCs w:val="20"/>
              </w:rPr>
              <w:t>Number of Sample Events</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Chloride</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monthly May-Sept, Nov, Mar</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Conductivity</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monthly May-Sept, Nov, Mar</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pH</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monthly May-Sept, Nov, Mar</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TOC</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monthly May-Sept, Nov, Mar</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Sulfate</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monthly May-Sept, Nov, Mar</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TSS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monthly May-Sept, Nov, Mar</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Volatile Suspended Solids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monthly May-Sept, Nov, Mar</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DO</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monthly May-Sept, Nov, Mar</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Temperature</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monthly May-Sept, Nov, Mar</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Turbidity</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monthly May-Sept, Nov, Mar</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b/>
                <w:bCs/>
                <w:color w:val="000000"/>
                <w:sz w:val="20"/>
                <w:szCs w:val="20"/>
                <w:u w:val="single"/>
              </w:rPr>
            </w:pPr>
            <w:r w:rsidRPr="00B42AE6">
              <w:rPr>
                <w:rFonts w:ascii="Calibri" w:eastAsia="Times New Roman" w:hAnsi="Calibri" w:cs="Times New Roman"/>
                <w:b/>
                <w:bCs/>
                <w:color w:val="000000"/>
                <w:sz w:val="20"/>
                <w:szCs w:val="20"/>
                <w:u w:val="single"/>
              </w:rPr>
              <w:t>Metals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D9D9D9"/>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D9D9D9"/>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single" w:sz="4" w:space="0" w:color="auto"/>
              <w:bottom w:val="single" w:sz="4" w:space="0" w:color="auto"/>
              <w:right w:val="double" w:sz="6" w:space="0" w:color="auto"/>
            </w:tcBorders>
            <w:shd w:val="clear" w:color="000000" w:fill="D9D9D9"/>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Total Hardness</w:t>
            </w:r>
          </w:p>
        </w:tc>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annually under low flow conditions</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Iron</w:t>
            </w:r>
          </w:p>
        </w:tc>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annually under low flow conditions</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Sodium</w:t>
            </w:r>
          </w:p>
        </w:tc>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annually under low flow conditions</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Arsenic</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annually under low flow conditions</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Manganese</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annually under low flow conditions</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Mercury</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annually under low flow conditions</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Copper</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annually under low flow conditions</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Nickel</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annually under low flow conditions</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Zinc</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annually under low flow conditions</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b/>
                <w:bCs/>
                <w:color w:val="000000"/>
                <w:sz w:val="20"/>
                <w:szCs w:val="20"/>
                <w:u w:val="single"/>
              </w:rPr>
            </w:pPr>
            <w:r w:rsidRPr="00B42AE6">
              <w:rPr>
                <w:rFonts w:ascii="Calibri" w:eastAsia="Times New Roman" w:hAnsi="Calibri" w:cs="Times New Roman"/>
                <w:b/>
                <w:bCs/>
                <w:color w:val="000000"/>
                <w:sz w:val="20"/>
                <w:szCs w:val="20"/>
                <w:u w:val="single"/>
              </w:rPr>
              <w:t>Nutrients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D9D9D9"/>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D9D9D9"/>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single" w:sz="4" w:space="0" w:color="auto"/>
              <w:bottom w:val="single" w:sz="4" w:space="0" w:color="auto"/>
              <w:right w:val="double" w:sz="6" w:space="0" w:color="auto"/>
            </w:tcBorders>
            <w:shd w:val="clear" w:color="000000" w:fill="D9D9D9"/>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Ammonia</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monthly May-Sept, Nov, Mar</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Total Nitrates (NO2 + NO3)</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monthly May-Sept, Nov, Mar</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TKN</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monthly May-Sept, Nov, Mar</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Total phosphorus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monthly May-Sept, Nov, Mar</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Dissolved reactive phosphorus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monthly May-Sept, Nov, Mar</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b/>
                <w:bCs/>
                <w:color w:val="000000"/>
                <w:sz w:val="20"/>
                <w:szCs w:val="20"/>
                <w:u w:val="single"/>
              </w:rPr>
            </w:pPr>
            <w:r w:rsidRPr="00B42AE6">
              <w:rPr>
                <w:rFonts w:ascii="Calibri" w:eastAsia="Times New Roman" w:hAnsi="Calibri" w:cs="Times New Roman"/>
                <w:b/>
                <w:bCs/>
                <w:color w:val="000000"/>
                <w:sz w:val="20"/>
                <w:szCs w:val="20"/>
                <w:u w:val="single"/>
              </w:rPr>
              <w:t>Bacteria</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D9D9D9"/>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D9D9D9"/>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single" w:sz="4" w:space="0" w:color="auto"/>
              <w:bottom w:val="single" w:sz="4" w:space="0" w:color="auto"/>
              <w:right w:val="double" w:sz="6" w:space="0" w:color="auto"/>
            </w:tcBorders>
            <w:shd w:val="clear" w:color="000000" w:fill="D9D9D9"/>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E. coli</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monthly May-Sept, Nov, Mar</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b/>
                <w:bCs/>
                <w:color w:val="000000"/>
                <w:sz w:val="20"/>
                <w:szCs w:val="20"/>
                <w:u w:val="single"/>
              </w:rPr>
            </w:pPr>
            <w:r w:rsidRPr="00B42AE6">
              <w:rPr>
                <w:rFonts w:ascii="Calibri" w:eastAsia="Times New Roman" w:hAnsi="Calibri" w:cs="Times New Roman"/>
                <w:b/>
                <w:bCs/>
                <w:color w:val="000000"/>
                <w:sz w:val="20"/>
                <w:szCs w:val="20"/>
                <w:u w:val="single"/>
              </w:rPr>
              <w:t>Water Organics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D9D9D9"/>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D9D9D9"/>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single" w:sz="4" w:space="0" w:color="auto"/>
              <w:bottom w:val="single" w:sz="4" w:space="0" w:color="auto"/>
              <w:right w:val="double" w:sz="6" w:space="0" w:color="auto"/>
            </w:tcBorders>
            <w:shd w:val="clear" w:color="000000" w:fill="D9D9D9"/>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PCBs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annually under low flow conditions</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Pesticides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annually under low flow conditions</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auto" w:fill="auto"/>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Methoxychlor</w:t>
            </w:r>
          </w:p>
        </w:tc>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annually under low flow conditions</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PNAs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annually under low flow conditions</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VOCs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annually under low flow conditions</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b/>
                <w:bCs/>
                <w:color w:val="000000"/>
                <w:sz w:val="20"/>
                <w:szCs w:val="20"/>
                <w:u w:val="single"/>
              </w:rPr>
            </w:pPr>
            <w:r w:rsidRPr="00B42AE6">
              <w:rPr>
                <w:rFonts w:ascii="Calibri" w:eastAsia="Times New Roman" w:hAnsi="Calibri" w:cs="Times New Roman"/>
                <w:b/>
                <w:bCs/>
                <w:color w:val="000000"/>
                <w:sz w:val="20"/>
                <w:szCs w:val="20"/>
                <w:u w:val="single"/>
              </w:rPr>
              <w:t>Sediment Metals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D9D9D9"/>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D9D9D9"/>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single" w:sz="4" w:space="0" w:color="auto"/>
              <w:bottom w:val="single" w:sz="4" w:space="0" w:color="auto"/>
              <w:right w:val="double" w:sz="6" w:space="0" w:color="auto"/>
            </w:tcBorders>
            <w:shd w:val="clear" w:color="000000" w:fill="D9D9D9"/>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Aluminum</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concurrent w/ bioassessment</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Arsenic</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concurrent w/ bioassessment</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Barium</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concurrent w/ bioassessment</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Beryllium</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concurrent w/ bioassessment</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Boron</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concurrent w/ bioassessment</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Cadmium</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concurrent w/ bioassessment</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Chromium</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concurrent w/ bioassessment</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FA2DD5" w:rsidRPr="00B42AE6" w:rsidTr="00FA2DD5">
        <w:trPr>
          <w:trHeight w:val="240"/>
        </w:trPr>
        <w:tc>
          <w:tcPr>
            <w:tcW w:w="2753" w:type="dxa"/>
            <w:tcBorders>
              <w:top w:val="nil"/>
              <w:left w:val="double" w:sz="6" w:space="0" w:color="auto"/>
              <w:right w:val="single" w:sz="4" w:space="0" w:color="auto"/>
            </w:tcBorders>
            <w:shd w:val="clear" w:color="000000" w:fill="FFFFFF"/>
            <w:noWrap/>
            <w:vAlign w:val="bottom"/>
            <w:hideMark/>
          </w:tcPr>
          <w:p w:rsidR="00FA2DD5" w:rsidRPr="00D57D9E" w:rsidRDefault="00FA2DD5" w:rsidP="00FA2DD5">
            <w:pPr>
              <w:spacing w:after="0" w:line="240" w:lineRule="auto"/>
              <w:rPr>
                <w:rFonts w:ascii="Calibri" w:eastAsia="Times New Roman" w:hAnsi="Calibri" w:cs="Times New Roman"/>
                <w:sz w:val="20"/>
                <w:szCs w:val="20"/>
              </w:rPr>
            </w:pPr>
            <w:r>
              <w:rPr>
                <w:rFonts w:ascii="Calibri" w:eastAsia="Times New Roman" w:hAnsi="Calibri" w:cs="Times New Roman"/>
                <w:noProof/>
                <w:sz w:val="20"/>
                <w:szCs w:val="20"/>
              </w:rPr>
              <mc:AlternateContent>
                <mc:Choice Requires="wps">
                  <w:drawing>
                    <wp:anchor distT="0" distB="0" distL="114300" distR="114300" simplePos="0" relativeHeight="251659264" behindDoc="0" locked="0" layoutInCell="1" allowOverlap="1" wp14:anchorId="66B21F97" wp14:editId="5A72CB08">
                      <wp:simplePos x="0" y="0"/>
                      <wp:positionH relativeFrom="column">
                        <wp:posOffset>-64135</wp:posOffset>
                      </wp:positionH>
                      <wp:positionV relativeFrom="paragraph">
                        <wp:posOffset>156210</wp:posOffset>
                      </wp:positionV>
                      <wp:extent cx="6057900" cy="9525"/>
                      <wp:effectExtent l="0" t="0" r="19050" b="28575"/>
                      <wp:wrapNone/>
                      <wp:docPr id="3" name="Straight Connector 3"/>
                      <wp:cNvGraphicFramePr/>
                      <a:graphic xmlns:a="http://schemas.openxmlformats.org/drawingml/2006/main">
                        <a:graphicData uri="http://schemas.microsoft.com/office/word/2010/wordprocessingShape">
                          <wps:wsp>
                            <wps:cNvCnPr/>
                            <wps:spPr>
                              <a:xfrm flipV="1">
                                <a:off x="0" y="0"/>
                                <a:ext cx="6057900" cy="9525"/>
                              </a:xfrm>
                              <a:prstGeom prst="line">
                                <a:avLst/>
                              </a:prstGeom>
                              <a:ln w="25400" cmpd="dbl">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DDAAAB" id="Straight Connector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05pt,12.3pt" to="471.9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" strokecolor="black [3213]" strokeweight="2pt">
                      <v:stroke linestyle="thinThin"/>
                    </v:line>
                  </w:pict>
                </mc:Fallback>
              </mc:AlternateContent>
            </w:r>
            <w:r w:rsidRPr="00D57D9E">
              <w:rPr>
                <w:rFonts w:ascii="Calibri" w:eastAsia="Times New Roman" w:hAnsi="Calibri" w:cs="Times New Roman"/>
                <w:sz w:val="20"/>
                <w:szCs w:val="20"/>
              </w:rPr>
              <w:t>Cobalt</w:t>
            </w:r>
          </w:p>
        </w:tc>
        <w:tc>
          <w:tcPr>
            <w:tcW w:w="3080" w:type="dxa"/>
            <w:tcBorders>
              <w:top w:val="nil"/>
              <w:left w:val="single" w:sz="4" w:space="0" w:color="auto"/>
              <w:right w:val="single" w:sz="4" w:space="0" w:color="auto"/>
            </w:tcBorders>
            <w:shd w:val="clear" w:color="000000" w:fill="FFFFFF"/>
            <w:noWrap/>
            <w:vAlign w:val="bottom"/>
            <w:hideMark/>
          </w:tcPr>
          <w:p w:rsidR="00FA2DD5" w:rsidRPr="00D57D9E" w:rsidRDefault="00FA2DD5" w:rsidP="00FA2DD5">
            <w:pPr>
              <w:spacing w:after="0" w:line="240" w:lineRule="auto"/>
              <w:rPr>
                <w:rFonts w:ascii="Calibri" w:eastAsia="Times New Roman" w:hAnsi="Calibri" w:cs="Times New Roman"/>
                <w:sz w:val="20"/>
                <w:szCs w:val="20"/>
              </w:rPr>
            </w:pPr>
            <w:r w:rsidRPr="00D57D9E">
              <w:rPr>
                <w:rFonts w:ascii="Calibri" w:eastAsia="Times New Roman" w:hAnsi="Calibri" w:cs="Times New Roman"/>
                <w:sz w:val="20"/>
                <w:szCs w:val="20"/>
              </w:rPr>
              <w:t>concurrent w/ bioassessment</w:t>
            </w:r>
          </w:p>
        </w:tc>
        <w:tc>
          <w:tcPr>
            <w:tcW w:w="1280" w:type="dxa"/>
            <w:tcBorders>
              <w:top w:val="nil"/>
              <w:left w:val="nil"/>
              <w:right w:val="single" w:sz="4" w:space="0" w:color="auto"/>
            </w:tcBorders>
            <w:shd w:val="clear" w:color="000000" w:fill="FFFFCC"/>
            <w:noWrap/>
            <w:vAlign w:val="bottom"/>
            <w:hideMark/>
          </w:tcPr>
          <w:p w:rsidR="00FA2DD5" w:rsidRPr="00D57D9E" w:rsidRDefault="00FA2DD5" w:rsidP="00FA2DD5">
            <w:pPr>
              <w:spacing w:after="0" w:line="240" w:lineRule="auto"/>
              <w:jc w:val="center"/>
              <w:rPr>
                <w:rFonts w:ascii="Calibri" w:eastAsia="Times New Roman" w:hAnsi="Calibri" w:cs="Times New Roman"/>
                <w:sz w:val="20"/>
                <w:szCs w:val="20"/>
              </w:rPr>
            </w:pPr>
            <w:r w:rsidRPr="00D57D9E">
              <w:rPr>
                <w:rFonts w:ascii="Calibri" w:eastAsia="Times New Roman" w:hAnsi="Calibri" w:cs="Times New Roman"/>
                <w:sz w:val="20"/>
                <w:szCs w:val="20"/>
              </w:rPr>
              <w:t>1</w:t>
            </w:r>
          </w:p>
        </w:tc>
        <w:tc>
          <w:tcPr>
            <w:tcW w:w="1280" w:type="dxa"/>
            <w:tcBorders>
              <w:top w:val="nil"/>
              <w:left w:val="nil"/>
              <w:right w:val="single" w:sz="4" w:space="0" w:color="auto"/>
            </w:tcBorders>
            <w:shd w:val="clear" w:color="000000" w:fill="FFFFCC"/>
            <w:noWrap/>
            <w:vAlign w:val="bottom"/>
            <w:hideMark/>
          </w:tcPr>
          <w:p w:rsidR="00FA2DD5" w:rsidRPr="00D57D9E" w:rsidRDefault="00FA2DD5" w:rsidP="00FA2DD5">
            <w:pPr>
              <w:spacing w:after="0" w:line="240" w:lineRule="auto"/>
              <w:jc w:val="center"/>
              <w:rPr>
                <w:rFonts w:ascii="Calibri" w:eastAsia="Times New Roman" w:hAnsi="Calibri" w:cs="Times New Roman"/>
                <w:sz w:val="20"/>
                <w:szCs w:val="20"/>
              </w:rPr>
            </w:pPr>
            <w:r w:rsidRPr="00D57D9E">
              <w:rPr>
                <w:rFonts w:ascii="Calibri" w:eastAsia="Times New Roman" w:hAnsi="Calibri" w:cs="Times New Roman"/>
                <w:sz w:val="20"/>
                <w:szCs w:val="20"/>
              </w:rPr>
              <w:t>1</w:t>
            </w:r>
          </w:p>
        </w:tc>
        <w:tc>
          <w:tcPr>
            <w:tcW w:w="1280" w:type="dxa"/>
            <w:tcBorders>
              <w:top w:val="nil"/>
              <w:left w:val="single" w:sz="4" w:space="0" w:color="auto"/>
              <w:right w:val="double" w:sz="6" w:space="0" w:color="auto"/>
            </w:tcBorders>
            <w:shd w:val="clear" w:color="000000" w:fill="FFFFCC"/>
            <w:noWrap/>
            <w:vAlign w:val="bottom"/>
            <w:hideMark/>
          </w:tcPr>
          <w:p w:rsidR="00FA2DD5" w:rsidRPr="00D57D9E" w:rsidRDefault="00FA2DD5" w:rsidP="00FA2DD5">
            <w:pPr>
              <w:spacing w:after="0" w:line="240" w:lineRule="auto"/>
              <w:jc w:val="center"/>
              <w:rPr>
                <w:rFonts w:ascii="Calibri" w:eastAsia="Times New Roman" w:hAnsi="Calibri" w:cs="Times New Roman"/>
                <w:sz w:val="20"/>
                <w:szCs w:val="20"/>
              </w:rPr>
            </w:pPr>
            <w:r w:rsidRPr="00D57D9E">
              <w:rPr>
                <w:rFonts w:ascii="Calibri" w:eastAsia="Times New Roman" w:hAnsi="Calibri" w:cs="Times New Roman"/>
                <w:sz w:val="20"/>
                <w:szCs w:val="20"/>
              </w:rPr>
              <w:t>1</w:t>
            </w:r>
          </w:p>
        </w:tc>
      </w:tr>
    </w:tbl>
    <w:p w:rsidR="00FA2DD5" w:rsidRDefault="00FA2DD5" w:rsidP="00FA2DD5">
      <w:r>
        <w:br w:type="page"/>
      </w:r>
    </w:p>
    <w:tbl>
      <w:tblPr>
        <w:tblW w:w="9673" w:type="dxa"/>
        <w:tblInd w:w="-90" w:type="dxa"/>
        <w:tblLook w:val="04A0" w:firstRow="1" w:lastRow="0" w:firstColumn="1" w:lastColumn="0" w:noHBand="0" w:noVBand="1"/>
      </w:tblPr>
      <w:tblGrid>
        <w:gridCol w:w="2753"/>
        <w:gridCol w:w="3080"/>
        <w:gridCol w:w="1280"/>
        <w:gridCol w:w="1280"/>
        <w:gridCol w:w="1280"/>
      </w:tblGrid>
      <w:tr w:rsidR="00FA2DD5" w:rsidRPr="00B42AE6" w:rsidTr="00FA2DD5">
        <w:trPr>
          <w:trHeight w:val="240"/>
        </w:trPr>
        <w:tc>
          <w:tcPr>
            <w:tcW w:w="9673" w:type="dxa"/>
            <w:gridSpan w:val="5"/>
            <w:tcBorders>
              <w:bottom w:val="single" w:sz="4" w:space="0" w:color="auto"/>
            </w:tcBorders>
            <w:shd w:val="clear" w:color="000000" w:fill="FFFFFF"/>
            <w:noWrap/>
            <w:vAlign w:val="bottom"/>
          </w:tcPr>
          <w:p w:rsidR="00FA2DD5" w:rsidRPr="00B42AE6" w:rsidRDefault="00FA2DD5" w:rsidP="00FA2DD5">
            <w:pPr>
              <w:spacing w:after="0" w:line="240" w:lineRule="auto"/>
              <w:rPr>
                <w:rFonts w:ascii="Calibri" w:eastAsia="Times New Roman" w:hAnsi="Calibri" w:cs="Times New Roman"/>
                <w:b/>
                <w:bCs/>
                <w:color w:val="000000"/>
                <w:sz w:val="20"/>
                <w:szCs w:val="20"/>
              </w:rPr>
            </w:pPr>
            <w:r>
              <w:lastRenderedPageBreak/>
              <w:t>Table 2 (cont.): Water Quality Sampling Parameters</w:t>
            </w:r>
          </w:p>
        </w:tc>
      </w:tr>
      <w:tr w:rsidR="00FA2DD5" w:rsidRPr="00B42AE6" w:rsidTr="00FA2DD5">
        <w:trPr>
          <w:trHeight w:val="240"/>
        </w:trPr>
        <w:tc>
          <w:tcPr>
            <w:tcW w:w="2753" w:type="dxa"/>
            <w:tcBorders>
              <w:top w:val="double" w:sz="4" w:space="0" w:color="auto"/>
              <w:left w:val="double" w:sz="6" w:space="0" w:color="auto"/>
              <w:bottom w:val="single" w:sz="4" w:space="0" w:color="auto"/>
              <w:right w:val="single" w:sz="4" w:space="0" w:color="auto"/>
            </w:tcBorders>
            <w:shd w:val="clear" w:color="000000" w:fill="FFFFFF"/>
            <w:noWrap/>
            <w:vAlign w:val="bottom"/>
          </w:tcPr>
          <w:p w:rsidR="00FA2DD5" w:rsidRPr="00B42AE6" w:rsidRDefault="00FA2DD5" w:rsidP="00FA2DD5">
            <w:pPr>
              <w:spacing w:after="0" w:line="240" w:lineRule="auto"/>
              <w:rPr>
                <w:rFonts w:ascii="Calibri" w:eastAsia="Times New Roman" w:hAnsi="Calibri" w:cs="Times New Roman"/>
                <w:b/>
                <w:bCs/>
                <w:color w:val="000000"/>
                <w:sz w:val="20"/>
                <w:szCs w:val="20"/>
              </w:rPr>
            </w:pPr>
            <w:r w:rsidRPr="00B42AE6">
              <w:rPr>
                <w:rFonts w:ascii="Calibri" w:eastAsia="Times New Roman" w:hAnsi="Calibri" w:cs="Times New Roman"/>
                <w:b/>
                <w:bCs/>
                <w:color w:val="000000"/>
                <w:sz w:val="20"/>
                <w:szCs w:val="20"/>
              </w:rPr>
              <w:t>Parameter</w:t>
            </w:r>
          </w:p>
        </w:tc>
        <w:tc>
          <w:tcPr>
            <w:tcW w:w="3080" w:type="dxa"/>
            <w:tcBorders>
              <w:top w:val="double" w:sz="4" w:space="0" w:color="auto"/>
              <w:left w:val="single" w:sz="4" w:space="0" w:color="auto"/>
              <w:bottom w:val="single" w:sz="4" w:space="0" w:color="auto"/>
              <w:right w:val="single" w:sz="4" w:space="0" w:color="auto"/>
            </w:tcBorders>
            <w:shd w:val="clear" w:color="000000" w:fill="FFFFFF"/>
            <w:noWrap/>
            <w:vAlign w:val="bottom"/>
          </w:tcPr>
          <w:p w:rsidR="00FA2DD5" w:rsidRPr="00B42AE6" w:rsidRDefault="00FA2DD5" w:rsidP="00FA2DD5">
            <w:pPr>
              <w:spacing w:after="0" w:line="240" w:lineRule="auto"/>
              <w:rPr>
                <w:rFonts w:ascii="Calibri" w:eastAsia="Times New Roman" w:hAnsi="Calibri" w:cs="Times New Roman"/>
                <w:b/>
                <w:bCs/>
                <w:color w:val="000000"/>
                <w:sz w:val="20"/>
                <w:szCs w:val="20"/>
              </w:rPr>
            </w:pPr>
            <w:r w:rsidRPr="00B42AE6">
              <w:rPr>
                <w:rFonts w:ascii="Calibri" w:eastAsia="Times New Roman" w:hAnsi="Calibri" w:cs="Times New Roman"/>
                <w:b/>
                <w:bCs/>
                <w:color w:val="000000"/>
                <w:sz w:val="20"/>
                <w:szCs w:val="20"/>
              </w:rPr>
              <w:t>DRWW Frequency</w:t>
            </w:r>
          </w:p>
        </w:tc>
        <w:tc>
          <w:tcPr>
            <w:tcW w:w="1280" w:type="dxa"/>
            <w:tcBorders>
              <w:top w:val="double" w:sz="4" w:space="0" w:color="auto"/>
              <w:left w:val="nil"/>
              <w:bottom w:val="single" w:sz="4" w:space="0" w:color="auto"/>
              <w:right w:val="single" w:sz="4" w:space="0" w:color="auto"/>
            </w:tcBorders>
            <w:shd w:val="clear" w:color="000000" w:fill="BFBFBF" w:themeFill="background1" w:themeFillShade="BF"/>
            <w:noWrap/>
            <w:vAlign w:val="bottom"/>
          </w:tcPr>
          <w:p w:rsidR="00FA2DD5" w:rsidRPr="00B42AE6" w:rsidRDefault="00FA2DD5" w:rsidP="00FA2DD5">
            <w:pPr>
              <w:spacing w:after="0" w:line="240" w:lineRule="auto"/>
              <w:jc w:val="center"/>
              <w:rPr>
                <w:rFonts w:ascii="Calibri" w:eastAsia="Times New Roman" w:hAnsi="Calibri" w:cs="Times New Roman"/>
                <w:b/>
                <w:bCs/>
                <w:color w:val="000000"/>
                <w:sz w:val="20"/>
                <w:szCs w:val="20"/>
              </w:rPr>
            </w:pPr>
            <w:r w:rsidRPr="00B42AE6">
              <w:rPr>
                <w:rFonts w:ascii="Calibri" w:eastAsia="Times New Roman" w:hAnsi="Calibri" w:cs="Times New Roman"/>
                <w:b/>
                <w:bCs/>
                <w:color w:val="000000"/>
                <w:sz w:val="20"/>
                <w:szCs w:val="20"/>
              </w:rPr>
              <w:t xml:space="preserve">Tier 1  </w:t>
            </w:r>
          </w:p>
        </w:tc>
        <w:tc>
          <w:tcPr>
            <w:tcW w:w="1280" w:type="dxa"/>
            <w:tcBorders>
              <w:top w:val="double" w:sz="4" w:space="0" w:color="auto"/>
              <w:left w:val="nil"/>
              <w:bottom w:val="single" w:sz="4" w:space="0" w:color="auto"/>
              <w:right w:val="single" w:sz="4" w:space="0" w:color="auto"/>
            </w:tcBorders>
            <w:shd w:val="clear" w:color="000000" w:fill="BFBFBF" w:themeFill="background1" w:themeFillShade="BF"/>
            <w:noWrap/>
            <w:vAlign w:val="bottom"/>
          </w:tcPr>
          <w:p w:rsidR="00FA2DD5" w:rsidRPr="00B42AE6" w:rsidRDefault="00FA2DD5" w:rsidP="00FA2DD5">
            <w:pPr>
              <w:spacing w:after="0" w:line="240" w:lineRule="auto"/>
              <w:jc w:val="center"/>
              <w:rPr>
                <w:rFonts w:ascii="Calibri" w:eastAsia="Times New Roman" w:hAnsi="Calibri" w:cs="Times New Roman"/>
                <w:b/>
                <w:bCs/>
                <w:color w:val="000000"/>
                <w:sz w:val="20"/>
                <w:szCs w:val="20"/>
              </w:rPr>
            </w:pPr>
            <w:r w:rsidRPr="00B42AE6">
              <w:rPr>
                <w:rFonts w:ascii="Calibri" w:eastAsia="Times New Roman" w:hAnsi="Calibri" w:cs="Times New Roman"/>
                <w:b/>
                <w:bCs/>
                <w:color w:val="000000"/>
                <w:sz w:val="20"/>
                <w:szCs w:val="20"/>
              </w:rPr>
              <w:t>Tier 2</w:t>
            </w:r>
          </w:p>
        </w:tc>
        <w:tc>
          <w:tcPr>
            <w:tcW w:w="1280" w:type="dxa"/>
            <w:tcBorders>
              <w:top w:val="double" w:sz="4" w:space="0" w:color="auto"/>
              <w:left w:val="single" w:sz="4" w:space="0" w:color="auto"/>
              <w:bottom w:val="single" w:sz="4" w:space="0" w:color="auto"/>
              <w:right w:val="double" w:sz="6" w:space="0" w:color="auto"/>
            </w:tcBorders>
            <w:shd w:val="clear" w:color="000000" w:fill="BFBFBF" w:themeFill="background1" w:themeFillShade="BF"/>
            <w:noWrap/>
            <w:vAlign w:val="bottom"/>
          </w:tcPr>
          <w:p w:rsidR="00FA2DD5" w:rsidRPr="00B42AE6" w:rsidRDefault="00FA2DD5" w:rsidP="00FA2DD5">
            <w:pPr>
              <w:spacing w:after="0" w:line="240" w:lineRule="auto"/>
              <w:jc w:val="center"/>
              <w:rPr>
                <w:rFonts w:ascii="Calibri" w:eastAsia="Times New Roman" w:hAnsi="Calibri" w:cs="Times New Roman"/>
                <w:b/>
                <w:bCs/>
                <w:color w:val="000000"/>
                <w:sz w:val="20"/>
                <w:szCs w:val="20"/>
              </w:rPr>
            </w:pPr>
            <w:r w:rsidRPr="00B42AE6">
              <w:rPr>
                <w:rFonts w:ascii="Calibri" w:eastAsia="Times New Roman" w:hAnsi="Calibri" w:cs="Times New Roman"/>
                <w:b/>
                <w:bCs/>
                <w:color w:val="000000"/>
                <w:sz w:val="20"/>
                <w:szCs w:val="20"/>
              </w:rPr>
              <w:t>Tier 3</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tcPr>
          <w:p w:rsidR="00FA2DD5" w:rsidRPr="00B42AE6" w:rsidRDefault="00FA2DD5" w:rsidP="00FA2DD5">
            <w:pPr>
              <w:spacing w:after="0" w:line="240" w:lineRule="auto"/>
              <w:rPr>
                <w:rFonts w:ascii="Calibri" w:eastAsia="Times New Roman" w:hAnsi="Calibri" w:cs="Times New Roman"/>
                <w:b/>
                <w:bCs/>
                <w:color w:val="000000"/>
                <w:sz w:val="20"/>
                <w:szCs w:val="20"/>
                <w:u w:val="single"/>
              </w:rPr>
            </w:pPr>
            <w:r w:rsidRPr="00B42AE6">
              <w:rPr>
                <w:rFonts w:ascii="Calibri" w:eastAsia="Times New Roman" w:hAnsi="Calibri" w:cs="Times New Roman"/>
                <w:b/>
                <w:bCs/>
                <w:color w:val="000000"/>
                <w:sz w:val="20"/>
                <w:szCs w:val="20"/>
                <w:u w:val="single"/>
              </w:rPr>
              <w:t>Sediment Metals</w:t>
            </w:r>
          </w:p>
        </w:tc>
        <w:tc>
          <w:tcPr>
            <w:tcW w:w="3080" w:type="dxa"/>
            <w:tcBorders>
              <w:top w:val="nil"/>
              <w:left w:val="single" w:sz="4" w:space="0" w:color="auto"/>
              <w:bottom w:val="single" w:sz="4" w:space="0" w:color="auto"/>
              <w:right w:val="single" w:sz="4" w:space="0" w:color="auto"/>
            </w:tcBorders>
            <w:shd w:val="clear" w:color="000000" w:fill="FFFFFF"/>
            <w:noWrap/>
            <w:vAlign w:val="bottom"/>
          </w:tcPr>
          <w:p w:rsidR="00FA2DD5" w:rsidRPr="00B42AE6" w:rsidRDefault="00FA2DD5" w:rsidP="00FA2DD5">
            <w:pPr>
              <w:spacing w:after="0" w:line="240" w:lineRule="auto"/>
              <w:rPr>
                <w:rFonts w:ascii="Calibri" w:eastAsia="Times New Roman" w:hAnsi="Calibri" w:cs="Times New Roman"/>
                <w:b/>
                <w:bCs/>
                <w:color w:val="000000"/>
                <w:sz w:val="20"/>
                <w:szCs w:val="20"/>
              </w:rPr>
            </w:pPr>
            <w:r w:rsidRPr="00B42AE6">
              <w:rPr>
                <w:rFonts w:ascii="Calibri" w:eastAsia="Times New Roman" w:hAnsi="Calibri" w:cs="Times New Roman"/>
                <w:b/>
                <w:bCs/>
                <w:color w:val="000000"/>
                <w:sz w:val="20"/>
                <w:szCs w:val="20"/>
              </w:rPr>
              <w:t> </w:t>
            </w:r>
          </w:p>
        </w:tc>
        <w:tc>
          <w:tcPr>
            <w:tcW w:w="3840" w:type="dxa"/>
            <w:gridSpan w:val="3"/>
            <w:tcBorders>
              <w:top w:val="nil"/>
              <w:left w:val="nil"/>
              <w:bottom w:val="single" w:sz="4" w:space="0" w:color="auto"/>
              <w:right w:val="double" w:sz="6" w:space="0" w:color="auto"/>
            </w:tcBorders>
            <w:shd w:val="clear" w:color="000000" w:fill="BFBFBF" w:themeFill="background1" w:themeFillShade="BF"/>
            <w:noWrap/>
            <w:vAlign w:val="bottom"/>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b/>
                <w:bCs/>
                <w:color w:val="000000"/>
                <w:sz w:val="20"/>
                <w:szCs w:val="20"/>
              </w:rPr>
              <w:t>Number of Sample Events</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Copper</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concurrent w/ bioassessment</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Fluoride</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concurrent w/ bioassessment</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Iron</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concurrent w/ bioassessment</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Lead</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concurrent w/ bioassessment</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Manganese</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concurrent w/ bioassessment</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Mercury</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concurrent w/ bioassessment</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Nickel</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concurrent w/ bioassessment</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Potassium</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concurrent w/ bioassessment</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Silver</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concurrent w/ bioassessment</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Sodium</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concurrent w/ bioassessment</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Strontium</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concurrent w/ bioassessment</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Vanadium</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concurrent w/ bioassessment</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Zinc</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concurrent w/ bioassessment</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b/>
                <w:bCs/>
                <w:color w:val="000000"/>
                <w:sz w:val="20"/>
                <w:szCs w:val="20"/>
                <w:u w:val="single"/>
              </w:rPr>
            </w:pPr>
            <w:r w:rsidRPr="00B42AE6">
              <w:rPr>
                <w:rFonts w:ascii="Calibri" w:eastAsia="Times New Roman" w:hAnsi="Calibri" w:cs="Times New Roman"/>
                <w:b/>
                <w:bCs/>
                <w:color w:val="000000"/>
                <w:sz w:val="20"/>
                <w:szCs w:val="20"/>
                <w:u w:val="single"/>
              </w:rPr>
              <w:t>Sediment Organics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D9D9D9"/>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D9D9D9"/>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single" w:sz="4" w:space="0" w:color="auto"/>
              <w:bottom w:val="single" w:sz="4" w:space="0" w:color="auto"/>
              <w:right w:val="double" w:sz="6" w:space="0" w:color="auto"/>
            </w:tcBorders>
            <w:shd w:val="clear" w:color="000000" w:fill="D9D9D9"/>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PCBs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concurrent w/ bioassessment</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Pesticides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concurrent w/ bioassessment</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Methoxychlor</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concurrent w/ bioassessment</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PNAs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concurrent w/ bioassessment</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VOCs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concurrent w/ bioassessment</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TKN</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concurrent w/ bioassessment</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Phosphorus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concurrent w/ bioassessment</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Cyanide</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concurrent w/ bioassessment</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FA2DD5" w:rsidRPr="00B42AE6" w:rsidTr="00FA2DD5">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Herbicides (2, 4, D, 2,4,5 TP)</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concurrent w/ bioassessment</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FA2DD5" w:rsidRPr="00B42AE6" w:rsidTr="00FA2DD5">
        <w:trPr>
          <w:trHeight w:val="240"/>
        </w:trPr>
        <w:tc>
          <w:tcPr>
            <w:tcW w:w="2753" w:type="dxa"/>
            <w:tcBorders>
              <w:top w:val="nil"/>
              <w:left w:val="double" w:sz="6" w:space="0" w:color="auto"/>
              <w:bottom w:val="double" w:sz="6"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Phenols</w:t>
            </w:r>
          </w:p>
        </w:tc>
        <w:tc>
          <w:tcPr>
            <w:tcW w:w="3080" w:type="dxa"/>
            <w:tcBorders>
              <w:top w:val="single" w:sz="4" w:space="0" w:color="auto"/>
              <w:left w:val="nil"/>
              <w:bottom w:val="double" w:sz="6" w:space="0" w:color="auto"/>
              <w:right w:val="single" w:sz="4" w:space="0" w:color="auto"/>
            </w:tcBorders>
            <w:shd w:val="clear" w:color="000000" w:fill="FFFFFF"/>
            <w:noWrap/>
            <w:vAlign w:val="bottom"/>
            <w:hideMark/>
          </w:tcPr>
          <w:p w:rsidR="00FA2DD5" w:rsidRPr="00B42AE6" w:rsidRDefault="00FA2DD5" w:rsidP="00FA2DD5">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concurrent w/ bioassessment</w:t>
            </w:r>
          </w:p>
        </w:tc>
        <w:tc>
          <w:tcPr>
            <w:tcW w:w="1280" w:type="dxa"/>
            <w:tcBorders>
              <w:top w:val="single" w:sz="4" w:space="0" w:color="auto"/>
              <w:left w:val="nil"/>
              <w:bottom w:val="double" w:sz="6"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single" w:sz="4" w:space="0" w:color="auto"/>
              <w:left w:val="nil"/>
              <w:bottom w:val="double" w:sz="6" w:space="0" w:color="auto"/>
              <w:right w:val="single" w:sz="4"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double" w:sz="6" w:space="0" w:color="auto"/>
              <w:right w:val="double" w:sz="6" w:space="0" w:color="auto"/>
            </w:tcBorders>
            <w:shd w:val="clear" w:color="000000" w:fill="FFFFCC"/>
            <w:noWrap/>
            <w:vAlign w:val="bottom"/>
            <w:hideMark/>
          </w:tcPr>
          <w:p w:rsidR="00FA2DD5" w:rsidRPr="00B42AE6" w:rsidRDefault="00FA2DD5" w:rsidP="00FA2DD5">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bl>
    <w:p w:rsidR="00FA2DD5" w:rsidRDefault="00FA2DD5" w:rsidP="00FA2DD5">
      <w:pPr>
        <w:spacing w:line="240" w:lineRule="auto"/>
      </w:pPr>
    </w:p>
    <w:p w:rsidR="00FA2DD5" w:rsidRPr="00CB3766" w:rsidRDefault="00FA2DD5" w:rsidP="00D97F90">
      <w:pPr>
        <w:spacing w:after="0" w:line="240" w:lineRule="auto"/>
      </w:pPr>
    </w:p>
    <w:sectPr w:rsidR="00FA2DD5" w:rsidRPr="00CB3766" w:rsidSect="00FA2DD5">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958" w:rsidRDefault="00720958" w:rsidP="00D5231C">
      <w:pPr>
        <w:spacing w:after="0" w:line="240" w:lineRule="auto"/>
      </w:pPr>
      <w:r>
        <w:separator/>
      </w:r>
    </w:p>
  </w:endnote>
  <w:endnote w:type="continuationSeparator" w:id="0">
    <w:p w:rsidR="00720958" w:rsidRDefault="00720958" w:rsidP="00D52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2338325"/>
      <w:docPartObj>
        <w:docPartGallery w:val="Page Numbers (Bottom of Page)"/>
        <w:docPartUnique/>
      </w:docPartObj>
    </w:sdtPr>
    <w:sdtEndPr>
      <w:rPr>
        <w:color w:val="7F7F7F" w:themeColor="background1" w:themeShade="7F"/>
        <w:spacing w:val="60"/>
      </w:rPr>
    </w:sdtEndPr>
    <w:sdtContent>
      <w:p w:rsidR="009D64E2" w:rsidRDefault="009D64E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D30AB" w:rsidRPr="00BD30AB">
          <w:rPr>
            <w:b/>
            <w:bCs/>
            <w:noProof/>
          </w:rPr>
          <w:t>5</w:t>
        </w:r>
        <w:r>
          <w:rPr>
            <w:b/>
            <w:bCs/>
            <w:noProof/>
          </w:rPr>
          <w:fldChar w:fldCharType="end"/>
        </w:r>
        <w:r>
          <w:rPr>
            <w:b/>
            <w:bCs/>
          </w:rPr>
          <w:t xml:space="preserve"> | </w:t>
        </w:r>
        <w:r>
          <w:rPr>
            <w:color w:val="7F7F7F" w:themeColor="background1" w:themeShade="7F"/>
            <w:spacing w:val="60"/>
          </w:rPr>
          <w:t>Page</w:t>
        </w:r>
      </w:p>
    </w:sdtContent>
  </w:sdt>
  <w:p w:rsidR="009D64E2" w:rsidRDefault="009D64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958" w:rsidRDefault="00720958" w:rsidP="00D5231C">
      <w:pPr>
        <w:spacing w:after="0" w:line="240" w:lineRule="auto"/>
      </w:pPr>
      <w:r>
        <w:separator/>
      </w:r>
    </w:p>
  </w:footnote>
  <w:footnote w:type="continuationSeparator" w:id="0">
    <w:p w:rsidR="00720958" w:rsidRDefault="00720958" w:rsidP="00D523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D64961"/>
    <w:multiLevelType w:val="hybridMultilevel"/>
    <w:tmpl w:val="A2228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387E71"/>
    <w:multiLevelType w:val="hybridMultilevel"/>
    <w:tmpl w:val="01348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9063466"/>
    <w:multiLevelType w:val="hybridMultilevel"/>
    <w:tmpl w:val="F726F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235"/>
    <w:rsid w:val="000221CE"/>
    <w:rsid w:val="00033297"/>
    <w:rsid w:val="0007508B"/>
    <w:rsid w:val="000E423B"/>
    <w:rsid w:val="001748CB"/>
    <w:rsid w:val="00176C3E"/>
    <w:rsid w:val="001823E7"/>
    <w:rsid w:val="00184CE2"/>
    <w:rsid w:val="00186586"/>
    <w:rsid w:val="00190F9F"/>
    <w:rsid w:val="001E5D7F"/>
    <w:rsid w:val="00232A6E"/>
    <w:rsid w:val="00292384"/>
    <w:rsid w:val="002F2627"/>
    <w:rsid w:val="003F2235"/>
    <w:rsid w:val="003F66B2"/>
    <w:rsid w:val="004366A4"/>
    <w:rsid w:val="00502941"/>
    <w:rsid w:val="005C5B03"/>
    <w:rsid w:val="00623BF3"/>
    <w:rsid w:val="006329A5"/>
    <w:rsid w:val="0064579A"/>
    <w:rsid w:val="00655360"/>
    <w:rsid w:val="006927D5"/>
    <w:rsid w:val="00720958"/>
    <w:rsid w:val="00771F3A"/>
    <w:rsid w:val="00775E03"/>
    <w:rsid w:val="007A1771"/>
    <w:rsid w:val="007B0243"/>
    <w:rsid w:val="007B04B1"/>
    <w:rsid w:val="007E060A"/>
    <w:rsid w:val="008415C6"/>
    <w:rsid w:val="008A79C2"/>
    <w:rsid w:val="008A7BBE"/>
    <w:rsid w:val="008B025A"/>
    <w:rsid w:val="008C32B5"/>
    <w:rsid w:val="0098662E"/>
    <w:rsid w:val="009B1D65"/>
    <w:rsid w:val="009C7B96"/>
    <w:rsid w:val="009D64E2"/>
    <w:rsid w:val="009D6F54"/>
    <w:rsid w:val="009E2A96"/>
    <w:rsid w:val="00A5126A"/>
    <w:rsid w:val="00AA4D88"/>
    <w:rsid w:val="00BC71ED"/>
    <w:rsid w:val="00BD30AB"/>
    <w:rsid w:val="00C0057A"/>
    <w:rsid w:val="00C10D72"/>
    <w:rsid w:val="00C361AD"/>
    <w:rsid w:val="00CB3766"/>
    <w:rsid w:val="00CE4734"/>
    <w:rsid w:val="00D2710A"/>
    <w:rsid w:val="00D34C98"/>
    <w:rsid w:val="00D37AA4"/>
    <w:rsid w:val="00D45649"/>
    <w:rsid w:val="00D5231C"/>
    <w:rsid w:val="00D97F90"/>
    <w:rsid w:val="00DB1145"/>
    <w:rsid w:val="00DD2E89"/>
    <w:rsid w:val="00E078EA"/>
    <w:rsid w:val="00E330B3"/>
    <w:rsid w:val="00E339B2"/>
    <w:rsid w:val="00E36971"/>
    <w:rsid w:val="00E91D09"/>
    <w:rsid w:val="00E97478"/>
    <w:rsid w:val="00EA2D6F"/>
    <w:rsid w:val="00EC6504"/>
    <w:rsid w:val="00EC6510"/>
    <w:rsid w:val="00F14425"/>
    <w:rsid w:val="00F222CD"/>
    <w:rsid w:val="00F64A17"/>
    <w:rsid w:val="00FA2DD5"/>
    <w:rsid w:val="00FB6333"/>
    <w:rsid w:val="00FF6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324893-7D71-4B25-B1DF-933CCB699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235"/>
    <w:rPr>
      <w:rFonts w:eastAsiaTheme="minorEastAsia"/>
    </w:rPr>
  </w:style>
  <w:style w:type="paragraph" w:styleId="Heading1">
    <w:name w:val="heading 1"/>
    <w:basedOn w:val="Normal"/>
    <w:next w:val="Normal"/>
    <w:link w:val="Heading1Char"/>
    <w:uiPriority w:val="9"/>
    <w:qFormat/>
    <w:rsid w:val="009E2A96"/>
    <w:pPr>
      <w:keepNext/>
      <w:keepLines/>
      <w:spacing w:before="240" w:after="0"/>
      <w:outlineLvl w:val="0"/>
    </w:pPr>
    <w:rPr>
      <w:rFonts w:asciiTheme="majorHAnsi" w:eastAsiaTheme="majorEastAsia" w:hAnsiTheme="majorHAnsi" w:cstheme="majorBidi"/>
      <w:color w:val="365F91" w:themeColor="accent1" w:themeShade="BF"/>
      <w:sz w:val="28"/>
      <w:szCs w:val="32"/>
    </w:rPr>
  </w:style>
  <w:style w:type="paragraph" w:styleId="Heading2">
    <w:name w:val="heading 2"/>
    <w:basedOn w:val="Normal"/>
    <w:next w:val="Normal"/>
    <w:link w:val="Heading2Char"/>
    <w:uiPriority w:val="9"/>
    <w:unhideWhenUsed/>
    <w:qFormat/>
    <w:rsid w:val="009E2A9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5536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2235"/>
    <w:pPr>
      <w:ind w:left="720"/>
      <w:contextualSpacing/>
    </w:pPr>
  </w:style>
  <w:style w:type="table" w:styleId="TableGrid">
    <w:name w:val="Table Grid"/>
    <w:basedOn w:val="TableNormal"/>
    <w:uiPriority w:val="59"/>
    <w:rsid w:val="00BC7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29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941"/>
    <w:rPr>
      <w:rFonts w:ascii="Segoe UI" w:eastAsiaTheme="minorEastAsia" w:hAnsi="Segoe UI" w:cs="Segoe UI"/>
      <w:sz w:val="18"/>
      <w:szCs w:val="18"/>
    </w:rPr>
  </w:style>
  <w:style w:type="paragraph" w:styleId="Header">
    <w:name w:val="header"/>
    <w:basedOn w:val="Normal"/>
    <w:link w:val="HeaderChar"/>
    <w:uiPriority w:val="99"/>
    <w:unhideWhenUsed/>
    <w:rsid w:val="00D523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31C"/>
    <w:rPr>
      <w:rFonts w:eastAsiaTheme="minorEastAsia"/>
    </w:rPr>
  </w:style>
  <w:style w:type="paragraph" w:styleId="Footer">
    <w:name w:val="footer"/>
    <w:basedOn w:val="Normal"/>
    <w:link w:val="FooterChar"/>
    <w:uiPriority w:val="99"/>
    <w:unhideWhenUsed/>
    <w:rsid w:val="00D523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31C"/>
    <w:rPr>
      <w:rFonts w:eastAsiaTheme="minorEastAsia"/>
    </w:rPr>
  </w:style>
  <w:style w:type="character" w:customStyle="1" w:styleId="Heading1Char">
    <w:name w:val="Heading 1 Char"/>
    <w:basedOn w:val="DefaultParagraphFont"/>
    <w:link w:val="Heading1"/>
    <w:uiPriority w:val="9"/>
    <w:rsid w:val="009E2A96"/>
    <w:rPr>
      <w:rFonts w:asciiTheme="majorHAnsi" w:eastAsiaTheme="majorEastAsia" w:hAnsiTheme="majorHAnsi" w:cstheme="majorBidi"/>
      <w:color w:val="365F91" w:themeColor="accent1" w:themeShade="BF"/>
      <w:sz w:val="28"/>
      <w:szCs w:val="32"/>
    </w:rPr>
  </w:style>
  <w:style w:type="character" w:customStyle="1" w:styleId="Heading2Char">
    <w:name w:val="Heading 2 Char"/>
    <w:basedOn w:val="DefaultParagraphFont"/>
    <w:link w:val="Heading2"/>
    <w:uiPriority w:val="9"/>
    <w:rsid w:val="009E2A9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655360"/>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8B025A"/>
    <w:rPr>
      <w:sz w:val="16"/>
      <w:szCs w:val="16"/>
    </w:rPr>
  </w:style>
  <w:style w:type="paragraph" w:styleId="CommentText">
    <w:name w:val="annotation text"/>
    <w:basedOn w:val="Normal"/>
    <w:link w:val="CommentTextChar"/>
    <w:uiPriority w:val="99"/>
    <w:semiHidden/>
    <w:unhideWhenUsed/>
    <w:rsid w:val="008B025A"/>
    <w:pPr>
      <w:spacing w:line="240" w:lineRule="auto"/>
    </w:pPr>
    <w:rPr>
      <w:sz w:val="20"/>
      <w:szCs w:val="20"/>
    </w:rPr>
  </w:style>
  <w:style w:type="character" w:customStyle="1" w:styleId="CommentTextChar">
    <w:name w:val="Comment Text Char"/>
    <w:basedOn w:val="DefaultParagraphFont"/>
    <w:link w:val="CommentText"/>
    <w:uiPriority w:val="99"/>
    <w:semiHidden/>
    <w:rsid w:val="008B025A"/>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B025A"/>
    <w:rPr>
      <w:b/>
      <w:bCs/>
    </w:rPr>
  </w:style>
  <w:style w:type="character" w:customStyle="1" w:styleId="CommentSubjectChar">
    <w:name w:val="Comment Subject Char"/>
    <w:basedOn w:val="CommentTextChar"/>
    <w:link w:val="CommentSubject"/>
    <w:uiPriority w:val="99"/>
    <w:semiHidden/>
    <w:rsid w:val="008B025A"/>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125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2075</Words>
  <Characters>11830</Characters>
  <Application>Microsoft Office Word</Application>
  <DocSecurity>4</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Lake County, Illinois</Company>
  <LinksUpToDate>false</LinksUpToDate>
  <CharactersWithSpaces>13878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Andrea Cline</cp:lastModifiedBy>
  <cp:revision>2</cp:revision>
  <cp:lastPrinted>2015-06-24T14:03:00Z</cp:lastPrinted>
  <dcterms:created xsi:type="dcterms:W3CDTF">2015-06-24T19:02:00Z</dcterms:created>
  <dcterms:modified xsi:type="dcterms:W3CDTF">2015-06-24T19:02:00Z</dcterms:modified>
</cp:coreProperties>
</file>